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(南充)乐天品牌合作社大北街门市</w:t>
            </w:r>
            <w:r>
              <w:rPr>
                <w:lang w:val="zh-CN"/>
                <w:rFonts w:ascii="Times New Roman" w:hAnsi="Times New Roman" w:cs="Times New Roman"/>
                <w:sz w:val="20"/>
                <w:szCs w:val="20"/>
                <w:color w:val="000000"/>
              </w:rPr>
              <w:tab/>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XB20200723庞琳03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2020-07-23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2020-07-30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2020-07-23 D805 南充→兰州 12:43-19:06</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2020-07-30 D806 兰州→南充 11:37-17:3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1、苟菲</w:t>
            </w:r>
          </w:p>
        </w:tc>
        <w:tc>
          <w:tcPr>
            <w:tcW w:w="2310" w:type="dxa"/>
            <w:vAlign w:val="center"/>
            <w:gridSpan w:val="2"/>
          </w:tcPr>
          <w:p>
            <w:pPr/>
            <w:r>
              <w:rPr>
                <w:lang w:val="zh-CN"/>
                <w:rFonts w:ascii="Times New Roman" w:hAnsi="Times New Roman" w:cs="Times New Roman"/>
                <w:sz w:val="20"/>
                <w:szCs w:val="20"/>
                <w:color w:val="000000"/>
              </w:rPr>
              <w:t>511302199608013282</w:t>
            </w:r>
          </w:p>
        </w:tc>
        <w:tc>
          <w:tcPr>
            <w:tcW w:w="2310" w:type="dxa"/>
            <w:vAlign w:val="center"/>
          </w:tcPr>
          <w:p>
            <w:pPr/>
            <w:r>
              <w:rPr>
                <w:lang w:val="zh-CN"/>
                <w:rFonts w:ascii="Times New Roman" w:hAnsi="Times New Roman" w:cs="Times New Roman"/>
                <w:sz w:val="20"/>
                <w:szCs w:val="20"/>
                <w:color w:val="000000"/>
              </w:rPr>
              <w:t>15181794751</w:t>
            </w:r>
          </w:p>
        </w:tc>
        <w:tc>
          <w:tcPr>
            <w:tcW w:w="2310" w:type="dxa"/>
            <w:vAlign w:val="center"/>
          </w:tcPr>
          <w:p>
            <w:pPr/>
            <w:r>
              <w:rPr>
                <w:lang w:val="zh-CN"/>
                <w:rFonts w:ascii="Times New Roman" w:hAnsi="Times New Roman" w:cs="Times New Roman"/>
                <w:sz w:val="20"/>
                <w:szCs w:val="20"/>
                <w:color w:val="000000"/>
              </w:rPr>
              <w:t>2、贾媛媛</w:t>
            </w:r>
          </w:p>
        </w:tc>
        <w:tc>
          <w:tcPr>
            <w:tcW w:w="2310" w:type="dxa"/>
            <w:vAlign w:val="center"/>
            <w:gridSpan w:val="2"/>
          </w:tcPr>
          <w:p>
            <w:pPr/>
            <w:r>
              <w:rPr>
                <w:lang w:val="zh-CN"/>
                <w:rFonts w:ascii="Times New Roman" w:hAnsi="Times New Roman" w:cs="Times New Roman"/>
                <w:sz w:val="20"/>
                <w:szCs w:val="20"/>
                <w:color w:val="000000"/>
              </w:rPr>
              <w:t>511302199410075728</w:t>
            </w:r>
          </w:p>
        </w:tc>
        <w:tc>
          <w:tcPr>
            <w:tcW w:w="2310" w:type="dxa"/>
            <w:vAlign w:val="center"/>
          </w:tcPr>
          <w:p>
            <w:pPr/>
            <w:r>
              <w:rPr>
                <w:lang w:val="zh-CN"/>
                <w:rFonts w:ascii="Times New Roman" w:hAnsi="Times New Roman" w:cs="Times New Roman"/>
                <w:sz w:val="20"/>
                <w:szCs w:val="20"/>
                <w:color w:val="000000"/>
              </w:rPr>
              <w:t>18382999057</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4000.00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总金额：肆仟元整</w:t>
            </w:r>
          </w:p>
        </w:tc>
        <w:tc>
          <w:tcPr>
            <w:tcW w:w="2310" w:type="dxa"/>
            <w:textDirection w:val="right"/>
            <w:gridSpan w:val="3"/>
          </w:tcPr>
          <w:p>
            <w:pPr/>
            <w:r>
              <w:rPr>
                <w:lang w:val="zh-CN"/>
                <w:rFonts w:ascii="Times New Roman" w:hAnsi="Times New Roman" w:cs="Times New Roman"/>
                <w:b/>
                <w:color w:val="FF0000"/>
              </w:rPr>
              <w:t>4000.00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2020/07/23</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2020/07/24</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2020/07/25</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2020/07/26</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2020/07/27</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2020/07/28</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2020/07/29</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2020/07/30</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2020/7/20 16:23:21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