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西充90队鸿运旅游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18282069123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XB20240716庞琳13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大漠星球甘肃青海双动纯玩8日游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2024-07-16 D161 南充北→兰州 16:16-214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1、谯德松</w:t>
            </w:r>
          </w:p>
        </w:tc>
        <w:tc>
          <w:tcPr>
            <w:tcW w:w="2310" w:type="dxa"/>
            <w:vAlign w:val="center"/>
            <w:gridSpan w:val="2"/>
          </w:tcPr>
          <w:p>
            <w:pPr/>
            <w:r>
              <w:rPr>
                <w:lang w:val="zh-CN"/>
                <w:rFonts w:ascii="Times New Roman" w:hAnsi="Times New Roman" w:cs="Times New Roman"/>
                <w:sz w:val="20"/>
                <w:szCs w:val="20"/>
                <w:color w:val="000000"/>
              </w:rPr>
              <w:t>512929195407035616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2、鲜玉清</w:t>
            </w:r>
          </w:p>
        </w:tc>
        <w:tc>
          <w:tcPr>
            <w:tcW w:w="2310" w:type="dxa"/>
            <w:vAlign w:val="center"/>
            <w:gridSpan w:val="2"/>
          </w:tcPr>
          <w:p>
            <w:pPr/>
            <w:r>
              <w:rPr>
                <w:lang w:val="zh-CN"/>
                <w:rFonts w:ascii="Times New Roman" w:hAnsi="Times New Roman" w:cs="Times New Roman"/>
                <w:sz w:val="20"/>
                <w:szCs w:val="20"/>
                <w:color w:val="000000"/>
              </w:rPr>
              <w:t>512929195412065625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3、谯娟</w:t>
            </w:r>
          </w:p>
        </w:tc>
        <w:tc>
          <w:tcPr>
            <w:tcW w:w="2310" w:type="dxa"/>
            <w:vAlign w:val="center"/>
            <w:gridSpan w:val="2"/>
          </w:tcPr>
          <w:p>
            <w:pPr/>
            <w:r>
              <w:rPr>
                <w:lang w:val="zh-CN"/>
                <w:rFonts w:ascii="Times New Roman" w:hAnsi="Times New Roman" w:cs="Times New Roman"/>
                <w:sz w:val="20"/>
                <w:szCs w:val="20"/>
                <w:color w:val="000000"/>
              </w:rPr>
              <w:t>511325198302105627</w:t>
            </w:r>
          </w:p>
        </w:tc>
        <w:tc>
          <w:tcPr>
            <w:tcW w:w="2310" w:type="dxa"/>
            <w:vAlign w:val="center"/>
          </w:tcPr>
          <w:p>
            <w:pPr/>
            <w:r>
              <w:rPr>
                <w:lang w:val="zh-CN"/>
                <w:rFonts w:ascii="Times New Roman" w:hAnsi="Times New Roman" w:cs="Times New Roman"/>
                <w:sz w:val="20"/>
                <w:szCs w:val="20"/>
                <w:color w:val="000000"/>
              </w:rPr>
              <w:t>15182945666</w:t>
            </w:r>
          </w:p>
        </w:tc>
        <w:tc>
          <w:tcPr>
            <w:tcW w:w="2310" w:type="dxa"/>
            <w:vAlign w:val="center"/>
          </w:tcPr>
          <w:p>
            <w:pPr/>
            <w:r>
              <w:rPr>
                <w:lang w:val="zh-CN"/>
                <w:rFonts w:ascii="Times New Roman" w:hAnsi="Times New Roman" w:cs="Times New Roman"/>
                <w:sz w:val="20"/>
                <w:szCs w:val="20"/>
                <w:color w:val="000000"/>
              </w:rPr>
              <w:t>4、何锐</w:t>
            </w:r>
          </w:p>
        </w:tc>
        <w:tc>
          <w:tcPr>
            <w:tcW w:w="2310" w:type="dxa"/>
            <w:vAlign w:val="center"/>
            <w:gridSpan w:val="2"/>
          </w:tcPr>
          <w:p>
            <w:pPr/>
            <w:r>
              <w:rPr>
                <w:lang w:val="zh-CN"/>
                <w:rFonts w:ascii="Times New Roman" w:hAnsi="Times New Roman" w:cs="Times New Roman"/>
                <w:sz w:val="20"/>
                <w:szCs w:val="20"/>
                <w:color w:val="000000"/>
              </w:rPr>
              <w:t>511325198103050010</w:t>
            </w:r>
          </w:p>
        </w:tc>
        <w:tc>
          <w:tcPr>
            <w:tcW w:w="2310" w:type="dxa"/>
            <w:vAlign w:val="center"/>
          </w:tcPr>
          <w:p>
            <w:pPr/>
            <w:r>
              <w:rPr>
                <w:lang w:val="zh-CN"/>
                <w:rFonts w:ascii="Times New Roman" w:hAnsi="Times New Roman" w:cs="Times New Roman"/>
                <w:sz w:val="20"/>
                <w:szCs w:val="20"/>
                <w:color w:val="000000"/>
              </w:rPr>
              <w:t>13990791298</w:t>
            </w:r>
          </w:p>
        </w:tc>
      </w:tr>
      <w:tr>
        <w:tc>
          <w:tcPr>
            <w:tcW w:w="2310" w:type="dxa"/>
            <w:vAlign w:val="center"/>
          </w:tcPr>
          <w:p>
            <w:pPr/>
            <w:r>
              <w:rPr>
                <w:lang w:val="zh-CN"/>
                <w:rFonts w:ascii="Times New Roman" w:hAnsi="Times New Roman" w:cs="Times New Roman"/>
                <w:sz w:val="20"/>
                <w:szCs w:val="20"/>
                <w:color w:val="000000"/>
              </w:rPr>
              <w:t>5、何涵颖</w:t>
            </w:r>
          </w:p>
        </w:tc>
        <w:tc>
          <w:tcPr>
            <w:tcW w:w="2310" w:type="dxa"/>
            <w:vAlign w:val="center"/>
            <w:gridSpan w:val="2"/>
          </w:tcPr>
          <w:p>
            <w:pPr/>
            <w:r>
              <w:rPr>
                <w:lang w:val="zh-CN"/>
                <w:rFonts w:ascii="Times New Roman" w:hAnsi="Times New Roman" w:cs="Times New Roman"/>
                <w:sz w:val="20"/>
                <w:szCs w:val="20"/>
                <w:color w:val="000000"/>
              </w:rPr>
              <w:t>511325200610270149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2650.00</w:t>
            </w:r>
          </w:p>
        </w:tc>
        <w:tc>
          <w:tcPr>
            <w:tcW w:w="2310" w:type="dxa"/>
          </w:tcPr>
          <w:p>
            <w:pPr/>
            <w:r>
              <w:rPr>
                <w:lang w:val="zh-CN"/>
                <w:rFonts w:ascii="Times New Roman" w:hAnsi="Times New Roman" w:cs="Times New Roman"/>
                <w:sz w:val="20"/>
                <w:szCs w:val="20"/>
                <w:color w:val="000000"/>
              </w:rPr>
              <w:t>13250.00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退门票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-600.00</w:t>
            </w:r>
          </w:p>
        </w:tc>
        <w:tc>
          <w:tcPr>
            <w:tcW w:w="2310" w:type="dxa"/>
          </w:tcPr>
          <w:p>
            <w:pPr/>
            <w:r>
              <w:rPr>
                <w:lang w:val="zh-CN"/>
                <w:rFonts w:ascii="Times New Roman" w:hAnsi="Times New Roman" w:cs="Times New Roman"/>
                <w:sz w:val="20"/>
                <w:szCs w:val="20"/>
                <w:color w:val="000000"/>
              </w:rPr>
              <w:t>-600.00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退房费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-750.00</w:t>
            </w:r>
          </w:p>
        </w:tc>
        <w:tc>
          <w:tcPr>
            <w:tcW w:w="2310" w:type="dxa"/>
          </w:tcPr>
          <w:p>
            <w:pPr/>
            <w:r>
              <w:rPr>
                <w:lang w:val="zh-CN"/>
                <w:rFonts w:ascii="Times New Roman" w:hAnsi="Times New Roman" w:cs="Times New Roman"/>
                <w:sz w:val="20"/>
                <w:szCs w:val="20"/>
                <w:color w:val="000000"/>
              </w:rPr>
              <w:t>-750.00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总金额：壹万壹仟玖佰元整</w:t>
            </w:r>
          </w:p>
        </w:tc>
        <w:tc>
          <w:tcPr>
            <w:tcW w:w="2310" w:type="dxa"/>
            <w:textDirection w:val="right"/>
            <w:gridSpan w:val="3"/>
          </w:tcPr>
          <w:p>
            <w:pPr/>
            <w:r>
              <w:rPr>
                <w:lang w:val="zh-CN"/>
                <w:rFonts w:ascii="Times New Roman" w:hAnsi="Times New Roman" w:cs="Times New Roman"/>
                <w:b/>
                <w:color w:val="FF0000"/>
              </w:rPr>
              <w:t>11900.00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各地 -兰州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客人自行前往出发地后火车站或机场，前往兰州。抵达后请先取上行李，我们的工作人员将在出口处，等候您的到来！24小时专人接机送往市区酒店，酒店前台报“姓名+电话号码”办理入住手续。之后自由活动，您可以自行去品尝当地美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兰州→门源→张掖七彩丹霞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张掖市。一路上与您相伴的祁连大草原，它在焉支山和祁连山之间的盆地中。每年7-8月间，与草原相接的祁连山依旧银装素裹，而草原上却碧波万顷，马、牛、羊群点缀其中。途径门源/扁都口，（七八月参观门源百里花海，其他时间景色不同)这里是世界上海拔最高的金色景观之一，远望大地似覆上了一席金色花毯，从眼前奔流至天边，又像太阳神打翻了金盆，倾泻了一地的阳光。走进它，浓郁的甜香弥漫了整个世界，炎炎夏日，身处花海，自有内心的宁静，清凉了世界，车览岗什卡雪峰。抵达张掖后参观【张掖七彩丹霞】地质公园（已含首道大门票，景区内小交通自理，游览时间3小时），这里是中国丹霞地貌发育最大最好、地貌造型最丰富的地区之一。也是2010年贺岁片《三枪拍案惊奇》的拍摄地。神奇的丹霞地貌群造型奇特，五颜六色，色调有顺山势起伏的波浪状，也有从山顶斜插山根的，尤如斜铺的彩条布，在太阳的照耀下，色彩异常艳丽,让人惊叹不已。行程结束后，晚上入住张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张掖→嘉峪关→大地之子→海市蜃楼→敦煌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集合乘车前往嘉峪关，嘉峪关城楼(门票未含，自愿选择是否进入参观，若参观嘉峪关城楼，门票110元/人和区间车20元/人须自理)，古代“丝绸之路”的交通要塞，关城始建于明朝，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途经瓜州参观览雕塑【大地之子】（参观20分钟）雕塑主体为茫茫戈壁之上趴伏在地、恬然入睡的长15米，高4.3米，宽9米的巨大婴儿。后向着戈壁滩大地之子雕塑南侧望去，有一座【海市蜃楼】（参观20分钟）它是由一个“主殿”和四个“阙楼”构成。原来它是由清华美院董书兵教授在甘肃省瓜州县创作的第二件大型作品，名曰《无界》，在这戈壁荒漠中，实属一处难得的景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敦煌→莫高窟→鸣沙山月牙泉→敦煌</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我国著名的四大石窟之一，敦煌【莫高窟】（已含莫高窟B类票，游览时间3小时），丝路明珠，有着1600多年的历史，是建筑、彩塑、壁画组成的综合艺术体。现存洞窟492个,壁画45000平方米，彩塑2400余身,飞天4000余身。作为我国现存规模最大，内容最丰富的古典文化艺术宝库，莫高窟堪称人类文化史上的一大奇迹，吸引着全世界的目光。1987年，莫高窟被联合国教科文组织评为世界文化遗产。继续前游沙漠奇观【鸣沙山、月牙泉】（已含首道大门票，参观时间约3小时）鸣沙山和月牙泉是大漠戈壁中一对孪生姐妹，“山以灵而故鸣，水以神而益秀”。游人无论从山顶鸟瞰，还是泉边畅游，都会骋怀神往。确有“鸣沙山怡性，月牙泉洗心”之感后入住酒店客人可自行前往市区沙洲夜市位于阳关东路，是敦煌市最大的夜市。沙州夜市越来越受到中外游客的青睐。每当夜幕降临，华灯绽放的时候，来自天南海北，世界各地的游客逐渐汇聚到灯光迷离的夜市，使这里变得异常热闹。沙洲夜市由风味小吃、工艺品、“三泡台”茶座、农副产品、土特产品五大经营区域组成。因为具有鲜明的地方特色和浓郁的民俗风情，而被誉为敦煌“夜景图”和“风情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敦煌→南八仙雅丹→东台吉乃尔湖→格尔木</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翻越当金山，经过崇山峻岭、越过沟渠丘壑，不远千里，最终踏上柴达木盆地的无人区—海西雅丹地貌区域。途中打卡【南八仙雅丹】（停车拍照），地貌群位于青藏高原柴达木盆地北缘、平均海拔3260米。这里分布着众多长条形土墩与凹地沟槽，形状奇特，刮大风时还会发出令人恐怖的怪声，且地磁强大，易使罗盘失灵而致人迷路，故又被称为“魔鬼城”。后前往【东台吉乃尔湖】（游览不低于2小时，目前免门票，如后期景区加收门票费用，则门票自理，为保证体验度，如东台吉乃尔湖因政策性关闭，则更换为大柴旦翡翠湖游览），这里，可能是很多人向往过却又迟迟未去的目的地；这里，比哈利波特的世界更魔幻；这里，看似毫无生机却又生机勃勃；这里，藏着无尽的兴奋与期待；这里，就是东台吉乃尔湖。湖面海拔2681米，长24.0公里，宽8.7公里，总面积121.3平方公里。薄荷蓝的湖水就跟马尔代夫一样，现在这里还处于未被开发的状态，远远望去就会发现湖水上方的天空格外的清透明亮，满眼的蓝色给人以极其强烈的视觉冲击，仿佛来到了人间天堂，你也可以看到魔宫般的雅丹。在过去的三十年中，东台吉乃尔湖多次出现和消失。经过三年，它如同海市蜃楼般在戈壁中神秘出现。其独特的蒂夫尼蓝色主要来源于锂盐。东台吉乃尔湖区深居柴达木盆地腹地，是一个以卤水为主的特大型锂矿床。湖的颜色与青海湖不同，由于含铜量较高湖水呈现出鲜绿色，岸边尽是覆盖着的白色结晶。由于人为控制水量和采盐作业，这种美景转瞬即逝，因此，想要一睹其风采的人应抓紧时间。后穿越315国道——最美网红U型公路（因交通管制，无法停车，请谅解），无休无止的连绵，从戈壁到公路，从荒漠到湖泊，日落之后，天地又是一片寂寂寥寥，星辰坠入湖里，月光抹在石壁，这样飘渺而幽远的夜，你站在水天之间，已然分不清这世界是否颠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格尔木→茶卡盐湖→青海湖</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柴达木盆地五大盐湖之一的【察尔汗盐湖】（含门票，不含区间车，游览不低于2小时），它和茶卡盐湖齐名，却鲜少有人提到它，它有着56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后前往【茶卡盐湖】（含门票，不含小火车，游览不低于2小时）茶卡盐湖是古丝绸之路的重要站点，历史上是商贾、游客进疆入藏的必经之地。这里风光旖旎，景色优美。湖面上，时而碧波荡漾，时而有莽莽苍苍，集秀丽、壮美于一体，在那里时仿佛静止般，天地间是一片纯净的白与蓝，就像做了一场幻境的梦…这里被国家旅游地理杂志评为“人一生必去的55个地方之一”。一路感受青海湖醉美公路——“青海湖旅游专线~环湖公路”风光，看青海湖畔山青水秀，天高气爽，景色十分绮丽。欣赏那五彩缤纷的野花，把绿色的绒毯点缀的如锦似缎，数不尽的牛羊和体壮的骏马犹如五彩斑驳的珍珠洒满草原。</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青海湖→湖边花海→金银滩草原牧场→兰州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起可自行在青海湖边酒店或青海湖观看日出，而后可沿青海湖边行走，看到花朵用尽“全身力气”绽放的大片花海，花海和人组成世界上最美的画卷，有水天相接的青海湖做背景，正是姑娘们拍照、打卡的好时机。后前往青海湖主景区——中国最美的五大湖泊之首高原明珠—【青海湖二郎剑】（含门票，不含电瓶车，不含游船，游览不低于2.5小时）是我国第一大内陆湖泊，也是我国最大的咸水湖。湖面纯净深湛、温柔恬雅的湖水，满载着古老而优美的传说，夹带着文成公主的相思，是如此的波澜壮阔、恢宏磅礴，漫步清海湖畔，拥一抹晨曦在心，握一缕格桑花的明艳于手，不思前尘，不念过往，心中，只存世事通透的安然.....同时也可看到分布在青海湖各处的湟鱼，一览湟鱼的生命奇景。赠送游览【金银滩草原牧场】(免门票，游览不低于1小时，如因天气原因或不可抗力导致无法参加，则不更换景点亦无费用可退)，在这里追诉王洛宾与卓玛的爱情故事，可以参与:藏服体验、藏式祈福、藏式小茶点等游玩项目。后返回兰州，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兰州→全国各地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早餐后，根据时间送团，此时您带着对西北的依依不舍之情和独特的了解，结束愉快的西部之旅。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7</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2024/7/7 13:37:39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