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四川省正大旅行社有限公司阆中分社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刘媚</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18990805763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YN20230717庞琳09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纯玩时光昆大丽双飞一动6日游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4(2大2小)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2023-07-17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2023-07-22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1、赖若冰</w:t>
            </w:r>
          </w:p>
        </w:tc>
        <w:tc>
          <w:tcPr>
            <w:tcW w:w="2310" w:type="dxa"/>
            <w:vAlign w:val="center"/>
            <w:gridSpan w:val="2"/>
          </w:tcPr>
          <w:p>
            <w:pPr/>
            <w:r>
              <w:rPr>
                <w:lang w:val="zh-CN"/>
                <w:rFonts w:ascii="Times New Roman" w:hAnsi="Times New Roman" w:cs="Times New Roman"/>
                <w:sz w:val="20"/>
                <w:szCs w:val="20"/>
                <w:color w:val="000000"/>
              </w:rPr>
              <w:t>513701198207035619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2、赵丽萍</w:t>
            </w:r>
          </w:p>
        </w:tc>
        <w:tc>
          <w:tcPr>
            <w:tcW w:w="2310" w:type="dxa"/>
            <w:vAlign w:val="center"/>
            <w:gridSpan w:val="2"/>
          </w:tcPr>
          <w:p>
            <w:pPr/>
            <w:r>
              <w:rPr>
                <w:lang w:val="zh-CN"/>
                <w:rFonts w:ascii="Times New Roman" w:hAnsi="Times New Roman" w:cs="Times New Roman"/>
                <w:sz w:val="20"/>
                <w:szCs w:val="20"/>
                <w:color w:val="000000"/>
              </w:rPr>
              <w:t xml:space="preserve">511381198511041165 </w:t>
            </w:r>
          </w:p>
        </w:tc>
        <w:tc>
          <w:tcPr>
            <w:tcW w:w="2310" w:type="dxa"/>
            <w:vAlign w:val="center"/>
          </w:tcPr>
          <w:p>
            <w:pPr/>
            <w:r>
              <w:rPr>
                <w:lang w:val="zh-CN"/>
                <w:rFonts w:ascii="Times New Roman" w:hAnsi="Times New Roman" w:cs="Times New Roman"/>
                <w:sz w:val="20"/>
                <w:szCs w:val="20"/>
                <w:color w:val="000000"/>
              </w:rPr>
              <w:t>18086901168</w:t>
            </w:r>
          </w:p>
        </w:tc>
      </w:tr>
      <w:tr>
        <w:tc>
          <w:tcPr>
            <w:tcW w:w="2310" w:type="dxa"/>
            <w:vAlign w:val="center"/>
          </w:tcPr>
          <w:p>
            <w:pPr/>
            <w:r>
              <w:rPr>
                <w:lang w:val="zh-CN"/>
                <w:rFonts w:ascii="Times New Roman" w:hAnsi="Times New Roman" w:cs="Times New Roman"/>
                <w:sz w:val="20"/>
                <w:szCs w:val="20"/>
                <w:color w:val="000000"/>
              </w:rPr>
              <w:t>3、赖星明</w:t>
            </w:r>
          </w:p>
        </w:tc>
        <w:tc>
          <w:tcPr>
            <w:tcW w:w="2310" w:type="dxa"/>
            <w:vAlign w:val="center"/>
            <w:gridSpan w:val="2"/>
          </w:tcPr>
          <w:p>
            <w:pPr/>
            <w:r>
              <w:rPr>
                <w:lang w:val="zh-CN"/>
                <w:rFonts w:ascii="Times New Roman" w:hAnsi="Times New Roman" w:cs="Times New Roman"/>
                <w:sz w:val="20"/>
                <w:szCs w:val="20"/>
                <w:color w:val="000000"/>
              </w:rPr>
              <w:t>511381201309301159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4、赵思羽</w:t>
            </w:r>
          </w:p>
        </w:tc>
        <w:tc>
          <w:tcPr>
            <w:tcW w:w="2310" w:type="dxa"/>
            <w:vAlign w:val="center"/>
            <w:gridSpan w:val="2"/>
          </w:tcPr>
          <w:p>
            <w:pPr/>
            <w:r>
              <w:rPr>
                <w:lang w:val="zh-CN"/>
                <w:rFonts w:ascii="Times New Roman" w:hAnsi="Times New Roman" w:cs="Times New Roman"/>
                <w:sz w:val="20"/>
                <w:szCs w:val="20"/>
                <w:color w:val="000000"/>
              </w:rPr>
              <w:t>511381201903120043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3180.00</w:t>
            </w:r>
          </w:p>
        </w:tc>
        <w:tc>
          <w:tcPr>
            <w:tcW w:w="2310" w:type="dxa"/>
          </w:tcPr>
          <w:p>
            <w:pPr/>
            <w:r>
              <w:rPr>
                <w:lang w:val="zh-CN"/>
                <w:rFonts w:ascii="Times New Roman" w:hAnsi="Times New Roman" w:cs="Times New Roman"/>
                <w:sz w:val="20"/>
                <w:szCs w:val="20"/>
                <w:color w:val="000000"/>
              </w:rPr>
              <w:t>6360.00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1780.00</w:t>
            </w:r>
          </w:p>
        </w:tc>
        <w:tc>
          <w:tcPr>
            <w:tcW w:w="2310" w:type="dxa"/>
          </w:tcPr>
          <w:p>
            <w:pPr/>
            <w:r>
              <w:rPr>
                <w:lang w:val="zh-CN"/>
                <w:rFonts w:ascii="Times New Roman" w:hAnsi="Times New Roman" w:cs="Times New Roman"/>
                <w:sz w:val="20"/>
                <w:szCs w:val="20"/>
                <w:color w:val="000000"/>
              </w:rPr>
              <w:t>3560.00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总金额：玖仟玖佰贰拾元整</w:t>
            </w:r>
          </w:p>
        </w:tc>
        <w:tc>
          <w:tcPr>
            <w:tcW w:w="2310" w:type="dxa"/>
            <w:textDirection w:val="right"/>
            <w:gridSpan w:val="3"/>
          </w:tcPr>
          <w:p>
            <w:pPr/>
            <w:r>
              <w:rPr>
                <w:lang w:val="zh-CN"/>
                <w:rFonts w:ascii="Times New Roman" w:hAnsi="Times New Roman" w:cs="Times New Roman"/>
                <w:b/>
                <w:color w:val="FF0000"/>
              </w:rPr>
              <w:t>9920.00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贵宾乘坐高铁/乘机飞往昆明，我社专业人员安排接站/机，专属接送站/机服务，专业人员协助办理酒店入住手续。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电瓶车25元/人自理，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长街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楚雄→大理→双廊古镇→洱海生态廊道吉普车→大理古城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乘车前往【双廊古镇】，是云南省省级历史文化名镇和“苍洱风光第一镇”。镇域三面环山，一面临海。西跳苍山十九峰，门临洱海万倾碧波，东靠“佛教胜地”鸡足山，南接“蓬莱仙岛”小普陀。中餐后，乘车至洱海边【洱海花海】牧场游览，乘坐吉普车【吉普车旅拍】（以家庭为单位，每个家庭提供6张电子照片），后自行游览【洱海生态廊道】，沿途欣赏苍山洱海边的田园风光。零距离贴近，生态廊道最佳取景地；大理网红点，游客自由拍照，沿途欣赏苍山洱海美景，在洱海生态廊道上，享受着“最大理”的惬意生活。游览【大理古城】大理古城又名叶榆城、紫城、中和镇。古城其历史可追溯至唐天宝年间，南诏王阁逻凤筑的羊苴咩城(今城之西三塔附近)，为其新都。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2023/07/20</w:t>
            </w:r>
          </w:p>
        </w:tc>
        <w:tc>
          <w:tcPr>
            <w:tcW w:w="2310" w:type="dxa"/>
            <w:gridSpan w:val="7"/>
          </w:tcPr>
          <w:p>
            <w:pPr/>
            <w:r>
              <w:rPr>
                <w:lang w:val="zh-CN"/>
                <w:rFonts w:ascii="Times New Roman" w:hAnsi="Times New Roman" w:cs="Times New Roman"/>
                <w:b/>
                <w:color w:val="000000"/>
              </w:rPr>
              <w:t>鹤庆白族民俗风情小镇→玉龙雪山大索道→印象丽江→蓝月谷→丽江古城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鹤庆白族民俗风情小镇】集田园风光、白族民居、白族民俗和白族手工艺品为一体的白族创意园区，享用中餐，下午乘车赴丽江，乘车前往乘车前往丽江游览【玉龙雪山风景区】，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乘玉龙雪山大索道，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索道配额等情况无法正常游览冰川公园大索道，我们会根据当天实际情况做备选方案调整改走小索道云杉坪或中索道牦牛坪，并根据实际情况退大索道差价）。晚餐后打卡丽江最网红-丽江古城，丽江古城网红打卡攻略：1、大水车（标志性）2、四方街（纳西大跳场地）3、油纸伞街（四方街附近光义街现文巷）4、五一街（著名的灯笼街、美食、民谣酒吧聚集地）5、七一街（忠义市场）6、狮子山（古城最高点，俯瞰丽江全景）（因丽江古城为开放式古城，游览方式为自行游览，时间是根据客人需求自订，所以需要客人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2023/07/21</w:t>
            </w:r>
          </w:p>
        </w:tc>
        <w:tc>
          <w:tcPr>
            <w:tcW w:w="2310" w:type="dxa"/>
            <w:gridSpan w:val="7"/>
          </w:tcPr>
          <w:p>
            <w:pPr/>
            <w:r>
              <w:rPr>
                <w:lang w:val="zh-CN"/>
                <w:rFonts w:ascii="Times New Roman" w:hAnsi="Times New Roman" w:cs="Times New Roman"/>
                <w:b/>
                <w:color w:val="000000"/>
              </w:rPr>
              <w:t>束河古镇→推荐自费拉市海·休闲庄园→大理→（动车）→昆明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推荐：乘车前往【拉市海湿地公园?休闲庄园】（拉市海景区套票240/人费用自理）拉市海水草肥美、湖色优美，被誉为生命的摇篮保护协会的生态保护项目基地。拉市海也是古老的茶马古道的必经之地，骑上云南特有的‘滇马’（俗称矮脚马）带您重回历史情境，声临其境的感受茶马古道的气息，真真切切的寻迹着历史的痕迹。走完茶马古道，我们将回到“休闲庄园”，在这里有贵宾休息室，里面还有一生都不容错过的“网红拍照地”，例如（迷你天空之镜、白凳子、玻璃球）应有尽有，吹着海风，晒着太阳把最自己最漂亮最放松的一刻记录下来，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2023/07/22</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12:30后航班可安排），根据返程时间安排送站/机。在此，我社全体服务人员预祝您旅途平安，期待您再次来云南！温馨提示：1.返程前请仔细整理好自己的行李物品及证件，请不要有所遗漏，核对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刘媚</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2023/7/6 9:32:21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