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YN20230716庞琳19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6.16起【寻味旅途】昆大丽双飞或双高6日游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9(8大1小)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2023-07-16 G2881 重庆→昆明 17:27-22:16</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2023-07-21 G2890 昆明南→重庆西 13:20-17:5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1、任筱冉</w:t>
            </w:r>
          </w:p>
        </w:tc>
        <w:tc>
          <w:tcPr>
            <w:tcW w:w="2310" w:type="dxa"/>
            <w:vAlign w:val="center"/>
            <w:gridSpan w:val="2"/>
          </w:tcPr>
          <w:p>
            <w:pPr/>
            <w:r>
              <w:rPr>
                <w:lang w:val="zh-CN"/>
                <w:rFonts w:ascii="Times New Roman" w:hAnsi="Times New Roman" w:cs="Times New Roman"/>
                <w:sz w:val="20"/>
                <w:szCs w:val="20"/>
                <w:color w:val="000000"/>
              </w:rPr>
              <w:t>511324201607152246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2、李蓉</w:t>
            </w:r>
          </w:p>
        </w:tc>
        <w:tc>
          <w:tcPr>
            <w:tcW w:w="2310" w:type="dxa"/>
            <w:vAlign w:val="center"/>
            <w:gridSpan w:val="2"/>
          </w:tcPr>
          <w:p>
            <w:pPr/>
            <w:r>
              <w:rPr>
                <w:lang w:val="zh-CN"/>
                <w:rFonts w:ascii="Times New Roman" w:hAnsi="Times New Roman" w:cs="Times New Roman"/>
                <w:sz w:val="20"/>
                <w:szCs w:val="20"/>
                <w:color w:val="000000"/>
              </w:rPr>
              <w:t>512927196705275003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3、王乐</w:t>
            </w:r>
          </w:p>
        </w:tc>
        <w:tc>
          <w:tcPr>
            <w:tcW w:w="2310" w:type="dxa"/>
            <w:vAlign w:val="center"/>
            <w:gridSpan w:val="2"/>
          </w:tcPr>
          <w:p>
            <w:pPr/>
            <w:r>
              <w:rPr>
                <w:lang w:val="zh-CN"/>
                <w:rFonts w:ascii="Times New Roman" w:hAnsi="Times New Roman" w:cs="Times New Roman"/>
                <w:sz w:val="20"/>
                <w:szCs w:val="20"/>
                <w:color w:val="000000"/>
              </w:rPr>
              <w:t>511324201007072066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4、李翠芳</w:t>
            </w:r>
          </w:p>
        </w:tc>
        <w:tc>
          <w:tcPr>
            <w:tcW w:w="2310" w:type="dxa"/>
            <w:vAlign w:val="center"/>
            <w:gridSpan w:val="2"/>
          </w:tcPr>
          <w:p>
            <w:pPr/>
            <w:r>
              <w:rPr>
                <w:lang w:val="zh-CN"/>
                <w:rFonts w:ascii="Times New Roman" w:hAnsi="Times New Roman" w:cs="Times New Roman"/>
                <w:sz w:val="20"/>
                <w:szCs w:val="20"/>
                <w:color w:val="000000"/>
              </w:rPr>
              <w:t>512927195609205502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5、李胜强</w:t>
            </w:r>
          </w:p>
        </w:tc>
        <w:tc>
          <w:tcPr>
            <w:tcW w:w="2310" w:type="dxa"/>
            <w:vAlign w:val="center"/>
            <w:gridSpan w:val="2"/>
          </w:tcPr>
          <w:p>
            <w:pPr/>
            <w:r>
              <w:rPr>
                <w:lang w:val="zh-CN"/>
                <w:rFonts w:ascii="Times New Roman" w:hAnsi="Times New Roman" w:cs="Times New Roman"/>
                <w:sz w:val="20"/>
                <w:szCs w:val="20"/>
                <w:color w:val="000000"/>
              </w:rPr>
              <w:t>51292719621209559X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6、罗玉华</w:t>
            </w:r>
          </w:p>
        </w:tc>
        <w:tc>
          <w:tcPr>
            <w:tcW w:w="2310" w:type="dxa"/>
            <w:vAlign w:val="center"/>
            <w:gridSpan w:val="2"/>
          </w:tcPr>
          <w:p>
            <w:pPr/>
            <w:r>
              <w:rPr>
                <w:lang w:val="zh-CN"/>
                <w:rFonts w:ascii="Times New Roman" w:hAnsi="Times New Roman" w:cs="Times New Roman"/>
                <w:sz w:val="20"/>
                <w:szCs w:val="20"/>
                <w:color w:val="000000"/>
              </w:rPr>
              <w:t>512927196306175603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7、吴云兰</w:t>
            </w:r>
          </w:p>
        </w:tc>
        <w:tc>
          <w:tcPr>
            <w:tcW w:w="2310" w:type="dxa"/>
            <w:vAlign w:val="center"/>
            <w:gridSpan w:val="2"/>
          </w:tcPr>
          <w:p>
            <w:pPr/>
            <w:r>
              <w:rPr>
                <w:lang w:val="zh-CN"/>
                <w:rFonts w:ascii="Times New Roman" w:hAnsi="Times New Roman" w:cs="Times New Roman"/>
                <w:sz w:val="20"/>
                <w:szCs w:val="20"/>
                <w:color w:val="000000"/>
              </w:rPr>
              <w:t>512927196303165522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8、陈红霞</w:t>
            </w:r>
          </w:p>
        </w:tc>
        <w:tc>
          <w:tcPr>
            <w:tcW w:w="2310" w:type="dxa"/>
            <w:vAlign w:val="center"/>
            <w:gridSpan w:val="2"/>
          </w:tcPr>
          <w:p>
            <w:pPr/>
            <w:r>
              <w:rPr>
                <w:lang w:val="zh-CN"/>
                <w:rFonts w:ascii="Times New Roman" w:hAnsi="Times New Roman" w:cs="Times New Roman"/>
                <w:sz w:val="20"/>
                <w:szCs w:val="20"/>
                <w:color w:val="000000"/>
              </w:rPr>
              <w:t>51292719670624548X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9、李胜家</w:t>
            </w:r>
          </w:p>
        </w:tc>
        <w:tc>
          <w:tcPr>
            <w:tcW w:w="2310" w:type="dxa"/>
            <w:vAlign w:val="center"/>
            <w:gridSpan w:val="2"/>
          </w:tcPr>
          <w:p>
            <w:pPr/>
            <w:r>
              <w:rPr>
                <w:lang w:val="zh-CN"/>
                <w:rFonts w:ascii="Times New Roman" w:hAnsi="Times New Roman" w:cs="Times New Roman"/>
                <w:sz w:val="20"/>
                <w:szCs w:val="20"/>
                <w:color w:val="000000"/>
              </w:rPr>
              <w:t>512927196003215479</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8</w:t>
            </w:r>
          </w:p>
        </w:tc>
        <w:tc>
          <w:tcPr>
            <w:tcW w:w="2310" w:type="dxa"/>
          </w:tcPr>
          <w:p>
            <w:pPr/>
            <w:r>
              <w:rPr>
                <w:lang w:val="zh-CN"/>
                <w:rFonts w:ascii="Times New Roman" w:hAnsi="Times New Roman" w:cs="Times New Roman"/>
                <w:sz w:val="20"/>
                <w:szCs w:val="20"/>
                <w:color w:val="000000"/>
              </w:rPr>
              <w:t>1580.00</w:t>
            </w:r>
          </w:p>
        </w:tc>
        <w:tc>
          <w:tcPr>
            <w:tcW w:w="2310" w:type="dxa"/>
          </w:tcPr>
          <w:p>
            <w:pPr/>
            <w:r>
              <w:rPr>
                <w:lang w:val="zh-CN"/>
                <w:rFonts w:ascii="Times New Roman" w:hAnsi="Times New Roman" w:cs="Times New Roman"/>
                <w:sz w:val="20"/>
                <w:szCs w:val="20"/>
                <w:color w:val="000000"/>
              </w:rPr>
              <w:t>12640.00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900.00</w:t>
            </w:r>
          </w:p>
        </w:tc>
        <w:tc>
          <w:tcPr>
            <w:tcW w:w="2310" w:type="dxa"/>
          </w:tcPr>
          <w:p>
            <w:pPr/>
            <w:r>
              <w:rPr>
                <w:lang w:val="zh-CN"/>
                <w:rFonts w:ascii="Times New Roman" w:hAnsi="Times New Roman" w:cs="Times New Roman"/>
                <w:sz w:val="20"/>
                <w:szCs w:val="20"/>
                <w:color w:val="000000"/>
              </w:rPr>
              <w:t>900.00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退成都出发动车票差价</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-90.00</w:t>
            </w:r>
          </w:p>
        </w:tc>
        <w:tc>
          <w:tcPr>
            <w:tcW w:w="2310" w:type="dxa"/>
          </w:tcPr>
          <w:p>
            <w:pPr/>
            <w:r>
              <w:rPr>
                <w:lang w:val="zh-CN"/>
                <w:rFonts w:ascii="Times New Roman" w:hAnsi="Times New Roman" w:cs="Times New Roman"/>
                <w:sz w:val="20"/>
                <w:szCs w:val="20"/>
                <w:color w:val="000000"/>
              </w:rPr>
              <w:t>-630.00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退成都出发动车票差价</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-33.00</w:t>
            </w:r>
          </w:p>
        </w:tc>
        <w:tc>
          <w:tcPr>
            <w:tcW w:w="2310" w:type="dxa"/>
          </w:tcPr>
          <w:p>
            <w:pPr/>
            <w:r>
              <w:rPr>
                <w:lang w:val="zh-CN"/>
                <w:rFonts w:ascii="Times New Roman" w:hAnsi="Times New Roman" w:cs="Times New Roman"/>
                <w:sz w:val="20"/>
                <w:szCs w:val="20"/>
                <w:color w:val="000000"/>
              </w:rPr>
              <w:t>-33.00</w:t>
            </w:r>
          </w:p>
        </w:tc>
        <w:tc>
          <w:tcPr>
            <w:tcW w:w="2310" w:type="dxa"/>
            <w:gridSpan w:val="2"/>
          </w:tcPr>
          <w:p>
            <w:pPr/>
            <w:r>
              <w:rPr>
                <w:lang w:val="zh-CN"/>
                <w:rFonts w:ascii="Times New Roman" w:hAnsi="Times New Roman" w:cs="Times New Roman"/>
                <w:sz w:val="20"/>
                <w:szCs w:val="20"/>
                <w:color w:val="000000"/>
              </w:rPr>
              <w:t>车餐操作的儿童</w:t>
            </w:r>
          </w:p>
        </w:tc>
      </w:tr>
      <w:tr>
        <w:tc>
          <w:tcPr>
            <w:tcW w:w="2310" w:type="dxa"/>
          </w:tcPr>
          <w:p>
            <w:pPr/>
            <w:r>
              <w:rPr>
                <w:lang w:val="zh-CN"/>
                <w:rFonts w:ascii="Times New Roman" w:hAnsi="Times New Roman" w:cs="Times New Roman"/>
                <w:sz w:val="20"/>
                <w:szCs w:val="20"/>
                <w:color w:val="000000"/>
              </w:rPr>
              <w:t>5</w:t>
            </w:r>
          </w:p>
        </w:tc>
        <w:tc>
          <w:tcPr>
            <w:tcW w:w="2310" w:type="dxa"/>
            <w:gridSpan w:val="2"/>
          </w:tcPr>
          <w:p>
            <w:pPr/>
            <w:r>
              <w:rPr>
                <w:lang w:val="zh-CN"/>
                <w:rFonts w:ascii="Times New Roman" w:hAnsi="Times New Roman" w:cs="Times New Roman"/>
                <w:sz w:val="20"/>
                <w:szCs w:val="20"/>
                <w:color w:val="000000"/>
              </w:rPr>
              <w:t>退成都出发动车差价</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-381.00</w:t>
            </w:r>
          </w:p>
        </w:tc>
        <w:tc>
          <w:tcPr>
            <w:tcW w:w="2310" w:type="dxa"/>
          </w:tcPr>
          <w:p>
            <w:pPr/>
            <w:r>
              <w:rPr>
                <w:lang w:val="zh-CN"/>
                <w:rFonts w:ascii="Times New Roman" w:hAnsi="Times New Roman" w:cs="Times New Roman"/>
                <w:sz w:val="20"/>
                <w:szCs w:val="20"/>
                <w:color w:val="000000"/>
              </w:rPr>
              <w:t>-381.00</w:t>
            </w:r>
          </w:p>
        </w:tc>
        <w:tc>
          <w:tcPr>
            <w:tcW w:w="2310" w:type="dxa"/>
            <w:gridSpan w:val="2"/>
          </w:tcPr>
          <w:p>
            <w:pPr/>
            <w:r>
              <w:rPr>
                <w:lang w:val="zh-CN"/>
                <w:rFonts w:ascii="Times New Roman" w:hAnsi="Times New Roman" w:cs="Times New Roman"/>
                <w:sz w:val="20"/>
                <w:szCs w:val="20"/>
                <w:color w:val="000000"/>
              </w:rPr>
              <w:t>按成人操作儿童</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总金额：壹万贰仟肆佰玖拾陆元整</w:t>
            </w:r>
          </w:p>
        </w:tc>
        <w:tc>
          <w:tcPr>
            <w:tcW w:w="2310" w:type="dxa"/>
            <w:textDirection w:val="right"/>
            <w:gridSpan w:val="3"/>
          </w:tcPr>
          <w:p>
            <w:pPr/>
            <w:r>
              <w:rPr>
                <w:lang w:val="zh-CN"/>
                <w:rFonts w:ascii="Times New Roman" w:hAnsi="Times New Roman" w:cs="Times New Roman"/>
                <w:b/>
                <w:color w:val="FF0000"/>
              </w:rPr>
              <w:t>12496.00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2023/07/16</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或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 xml:space="preserve">昆明滇池/西山  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2023/07/18</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2023/07/19</w:t>
            </w:r>
          </w:p>
        </w:tc>
        <w:tc>
          <w:tcPr>
            <w:tcW w:w="2310" w:type="dxa"/>
            <w:gridSpan w:val="7"/>
          </w:tcPr>
          <w:p>
            <w:pPr/>
            <w:r>
              <w:rPr>
                <w:lang w:val="zh-CN"/>
                <w:rFonts w:ascii="Times New Roman" w:hAnsi="Times New Roman" w:cs="Times New Roman"/>
                <w:b/>
                <w:color w:val="000000"/>
              </w:rPr>
              <w:t>大理丽江（200公里，车程约3小时）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2023/07/20</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可自费加钱升级大理搭乘动车返回昆明）后乘车返回昆明，入住昆明酒店。温馨提示1.今天将离开丽江，退房之前请仔细检查自己的行李物品，避免遗漏。2.拉市海湿地公园骑马期间，注意安全，不要随意打闹嬉戏！3.今日车程较长，途中可自备些干粮，如遇堵车等不可抗控情况，请贵宾们保持美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2023/07/21</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高铁/航班为12:00之前的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各地-昆明往返高铁二等座/往返机票（含机场建设费，燃油费）住宿：全程精品格调酒店+升级一晚大理海景酒店；交通：全程四年内空调旅游车，按实际人数选择车型，（因团为散客拼团，到达航班较多，故在昆明（D1接站/机/D6送站/机）我社单独安排车辆接送，无导游）；餐饮：正餐十菜一汤（含特色餐）十人一桌，共5早6正（其中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2023/7/12 17:00:12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