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南充万美旅游延安路门市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弋燕秋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18990785626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YN20230720庞琳11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 【象动动】-昆明·普洱·版纳双飞6日游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8(5大3小)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2023-07-20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2023-07-25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1、罗清怀</w:t>
            </w:r>
          </w:p>
        </w:tc>
        <w:tc>
          <w:tcPr>
            <w:tcW w:w="2310" w:type="dxa"/>
            <w:vAlign w:val="center"/>
            <w:gridSpan w:val="2"/>
          </w:tcPr>
          <w:p>
            <w:pPr/>
            <w:r>
              <w:rPr>
                <w:lang w:val="zh-CN"/>
                <w:rFonts w:ascii="Times New Roman" w:hAnsi="Times New Roman" w:cs="Times New Roman"/>
                <w:sz w:val="20"/>
                <w:szCs w:val="20"/>
                <w:color w:val="000000"/>
              </w:rPr>
              <w:t>512929195110260038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2、罗梓嫣</w:t>
            </w:r>
          </w:p>
        </w:tc>
        <w:tc>
          <w:tcPr>
            <w:tcW w:w="2310" w:type="dxa"/>
            <w:vAlign w:val="center"/>
            <w:gridSpan w:val="2"/>
          </w:tcPr>
          <w:p>
            <w:pPr/>
            <w:r>
              <w:rPr>
                <w:lang w:val="zh-CN"/>
                <w:rFonts w:ascii="Times New Roman" w:hAnsi="Times New Roman" w:cs="Times New Roman"/>
                <w:sz w:val="20"/>
                <w:szCs w:val="20"/>
                <w:color w:val="000000"/>
              </w:rPr>
              <w:t>511325201702110104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3、罗梓铭</w:t>
            </w:r>
          </w:p>
        </w:tc>
        <w:tc>
          <w:tcPr>
            <w:tcW w:w="2310" w:type="dxa"/>
            <w:vAlign w:val="center"/>
            <w:gridSpan w:val="2"/>
          </w:tcPr>
          <w:p>
            <w:pPr/>
            <w:r>
              <w:rPr>
                <w:lang w:val="zh-CN"/>
                <w:rFonts w:ascii="Times New Roman" w:hAnsi="Times New Roman" w:cs="Times New Roman"/>
                <w:sz w:val="20"/>
                <w:szCs w:val="20"/>
                <w:color w:val="000000"/>
              </w:rPr>
              <w:t>51132520080811001X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4、罗利容</w:t>
            </w:r>
          </w:p>
        </w:tc>
        <w:tc>
          <w:tcPr>
            <w:tcW w:w="2310" w:type="dxa"/>
            <w:vAlign w:val="center"/>
            <w:gridSpan w:val="2"/>
          </w:tcPr>
          <w:p>
            <w:pPr/>
            <w:r>
              <w:rPr>
                <w:lang w:val="zh-CN"/>
                <w:rFonts w:ascii="Times New Roman" w:hAnsi="Times New Roman" w:cs="Times New Roman"/>
                <w:sz w:val="20"/>
                <w:szCs w:val="20"/>
                <w:color w:val="000000"/>
              </w:rPr>
              <w:t>512929197712030028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5、钟杭岑</w:t>
            </w:r>
          </w:p>
        </w:tc>
        <w:tc>
          <w:tcPr>
            <w:tcW w:w="2310" w:type="dxa"/>
            <w:vAlign w:val="center"/>
            <w:gridSpan w:val="2"/>
          </w:tcPr>
          <w:p>
            <w:pPr/>
            <w:r>
              <w:rPr>
                <w:lang w:val="zh-CN"/>
                <w:rFonts w:ascii="Times New Roman" w:hAnsi="Times New Roman" w:cs="Times New Roman"/>
                <w:sz w:val="20"/>
                <w:szCs w:val="20"/>
                <w:color w:val="000000"/>
              </w:rPr>
              <w:t>511325200107230043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6、罗燕姝</w:t>
            </w:r>
          </w:p>
        </w:tc>
        <w:tc>
          <w:tcPr>
            <w:tcW w:w="2310" w:type="dxa"/>
            <w:vAlign w:val="center"/>
            <w:gridSpan w:val="2"/>
          </w:tcPr>
          <w:p>
            <w:pPr/>
            <w:r>
              <w:rPr>
                <w:lang w:val="zh-CN"/>
                <w:rFonts w:ascii="Times New Roman" w:hAnsi="Times New Roman" w:cs="Times New Roman"/>
                <w:sz w:val="20"/>
                <w:szCs w:val="20"/>
                <w:color w:val="000000"/>
              </w:rPr>
              <w:t>511325198604060022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7、李研希</w:t>
            </w:r>
          </w:p>
        </w:tc>
        <w:tc>
          <w:tcPr>
            <w:tcW w:w="2310" w:type="dxa"/>
            <w:vAlign w:val="center"/>
            <w:gridSpan w:val="2"/>
          </w:tcPr>
          <w:p>
            <w:pPr/>
            <w:r>
              <w:rPr>
                <w:lang w:val="zh-CN"/>
                <w:rFonts w:ascii="Times New Roman" w:hAnsi="Times New Roman" w:cs="Times New Roman"/>
                <w:sz w:val="20"/>
                <w:szCs w:val="20"/>
                <w:color w:val="000000"/>
              </w:rPr>
              <w:t>511304201310130024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8、李沂珊</w:t>
            </w:r>
          </w:p>
        </w:tc>
        <w:tc>
          <w:tcPr>
            <w:tcW w:w="2310" w:type="dxa"/>
            <w:vAlign w:val="center"/>
            <w:gridSpan w:val="2"/>
          </w:tcPr>
          <w:p>
            <w:pPr/>
            <w:r>
              <w:rPr>
                <w:lang w:val="zh-CN"/>
                <w:rFonts w:ascii="Times New Roman" w:hAnsi="Times New Roman" w:cs="Times New Roman"/>
                <w:sz w:val="20"/>
                <w:szCs w:val="20"/>
                <w:color w:val="000000"/>
              </w:rPr>
              <w:t>511304201802090049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2580.00</w:t>
            </w:r>
          </w:p>
        </w:tc>
        <w:tc>
          <w:tcPr>
            <w:tcW w:w="2310" w:type="dxa"/>
          </w:tcPr>
          <w:p>
            <w:pPr/>
            <w:r>
              <w:rPr>
                <w:lang w:val="zh-CN"/>
                <w:rFonts w:ascii="Times New Roman" w:hAnsi="Times New Roman" w:cs="Times New Roman"/>
                <w:sz w:val="20"/>
                <w:szCs w:val="20"/>
                <w:color w:val="000000"/>
              </w:rPr>
              <w:t>12900.00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1980.00</w:t>
            </w:r>
          </w:p>
        </w:tc>
        <w:tc>
          <w:tcPr>
            <w:tcW w:w="2310" w:type="dxa"/>
          </w:tcPr>
          <w:p>
            <w:pPr/>
            <w:r>
              <w:rPr>
                <w:lang w:val="zh-CN"/>
                <w:rFonts w:ascii="Times New Roman" w:hAnsi="Times New Roman" w:cs="Times New Roman"/>
                <w:sz w:val="20"/>
                <w:szCs w:val="20"/>
                <w:color w:val="000000"/>
              </w:rPr>
              <w:t>3960.00</w:t>
            </w:r>
          </w:p>
        </w:tc>
        <w:tc>
          <w:tcPr>
            <w:tcW w:w="2310" w:type="dxa"/>
            <w:gridSpan w:val="2"/>
          </w:tcPr>
          <w:p>
            <w:pPr/>
            <w:r>
              <w:rPr>
                <w:lang w:val="zh-CN"/>
                <w:rFonts w:ascii="Times New Roman" w:hAnsi="Times New Roman" w:cs="Times New Roman"/>
                <w:sz w:val="20"/>
                <w:szCs w:val="20"/>
                <w:color w:val="000000"/>
              </w:rPr>
              <w:t>含机票车餐，动车票，不含门票</w:t>
            </w: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r>
              <w:rPr>
                <w:lang w:val="zh-CN"/>
                <w:rFonts w:ascii="Times New Roman" w:hAnsi="Times New Roman" w:cs="Times New Roman"/>
                <w:sz w:val="20"/>
                <w:szCs w:val="20"/>
                <w:color w:val="000000"/>
              </w:rPr>
              <w:t>含机票车餐，不含动车票，不含门票</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总金额：壹万捌仟伍佰肆拾元整</w:t>
            </w:r>
          </w:p>
        </w:tc>
        <w:tc>
          <w:tcPr>
            <w:tcW w:w="2310" w:type="dxa"/>
            <w:textDirection w:val="right"/>
            <w:gridSpan w:val="3"/>
          </w:tcPr>
          <w:p>
            <w:pPr/>
            <w:r>
              <w:rPr>
                <w:lang w:val="zh-CN"/>
                <w:rFonts w:ascii="Times New Roman" w:hAnsi="Times New Roman" w:cs="Times New Roman"/>
                <w:b/>
                <w:color w:val="FF0000"/>
              </w:rPr>
              <w:t>18540.00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今日由专业接机组接机，接送至酒店，安排入住，无需繁琐入住手续、无需押金，直接入住；入住后游客可自行游览昆明市区，品尝街头美食。之后入住酒店休息。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前往乘车前往“古南方丝绸之路”的起点，茶马古道遗址——【普洱茶马古道国家公园】（索道、电瓶车自理100元/人），走在“古道”的青石板路上，感受太阳的余晖散落在山间并聆听“踢踢踏踏”的马蹄声，顿感岁月的沧桑和人世的沉浮。简介：第一部分：【马锅头鱼鹰捕猎】：VIP私人定制体验马锅头鱼鹰捕鱼，穿越古代感受马帮野外生活体验第二部分：【邂逅汗血宝马】：河西走廊上的丝绸之路与南方丝绸之路是中国最古老的商道，马是古代的战略资源，也是重要的交通运输工具，汗血宝马自古以来就是马中贵族，帝王将相，英雄豪杰一生追求。纯种土库曼斯坦汗血宝马家族与您见证辉煌而沧桑的古道遗风。第三部分：【瑞贡天朝】：穿越回清朝光绪21年，感受普洱人民最高荣耀——御赐“瑞贡天朝”，了解茶马盛世，熟知普洱种茶人的匠人精神，赶马人的蹉跎艰辛，当今国家战略“一带一路”的来之不易。第四部分：【森林滑道激爽刺激】：（友情提示：禁止年纪较大、醉酒、高血压、低血糖、心脏病、眩晕症、癫痫病、智障人士、孕妇及其他不适应滑道运动者乘坐）：乘坐滑车呼啸而下，时而置身树林，时而置身蒿草丛生的山野世界，时而置身于清香四溢的茶园，滑车转弯时惯性带来的“脱轨感”更是让人心跳加速，大呼刺激；，之后乘车入住普洱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2023/07/22</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参观【万亩茶园】（参观时间60分钟）。品地道云南普洱茶，欣赏了解普洱茶的冲泡及做工工艺。之后乘车前往西双版纳【野象谷】在中国要看亚洲野象，必须到西双版纳，到西双版纳看野象，又必须到野象谷。1996年对外开放至今，后又建有观象架走廊、树上旅馆、高空索道、步行游道等设施以及人工【蝴蝶养殖园】、网笼【百鸟园】等。观看【大象表演】节目，这些训练有素的看起来笨拙的庞然大物，能过独木桥、会向游客鞠躬表示欢迎，会作头顶地、脚朝天的倒立，会用象鼻作"踢"球表演，会合着音乐跳舞。游客可骑在象背上。我们特别安排身临其境喂大象体验。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来到告庄推荐参加（勐巴拉纳西篝火晚会280元/人、湄公河快艇260元/人），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湄公河快艇，梦想起航！起点：国际码头景洪港。航线：乘风破浪澜沧江，国内叫澜沧江，境外称湄公河。一江连六国，风情尽享。人在艇上，艇在浪上，鱼跃在身旁，尖叫声飘扬在六国江面上。岸上热带雨林，藤缠雾绕。头上蓝天白云，艳阳高照。身边浪起鱼跃，白鹭飞翔。水的柔情，浪的刺激，艇的飞跃，潇洒浪漫尽在碧波白浪澜沧江！中途快艇小憩花果岛：尝东南亚热带水果，品边疆茅台，伴民族小姑娘起舞歌唱。不乘快艇不知澜湄六国风光，等于没到过湄公河澜沧江。一次航程，一生回味，湄公河快艇欢迎您！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2023/07/23</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早餐后前往游览西双版纳【原始森林公园】（不含景区电瓶观光车60/人），车程约20分钟。森林公园是离景洪城最近的一片原始森林。在25000亩热带沟谷雨林的基础上创建，园内森林覆盖率超过98%，是个天然的大氧吧。有沟谷雨林、孔雀飞舞、民俗歌舞、美食、泼水狂欢等项目，突出体现了“原始森林、野生动物、民族风情”三大主题。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2023/07/24</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了解一代傣王带领傣族寨子致富：“吃水不忘挖井人，致富不忘共产党”，走村串寨，进入傣族家里听听傣族的故事，生活习惯。中餐后我们乘坐高铁返回昆明。之后游览【散客集散中心】，您可自行购买鲜花特产，逛逛集散中心，把云南特色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您可睡到自然醒，将几天来旅途中的兴奋和疲劳做片刻的放松。乘班机返温暖的家，把春城的真诚和美丽带给您的亲朋好友，服务结束！祝您旅途愉快！（无早机费）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弋燕秋</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2023/7/10 10:23:02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