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南充青旅阆中分社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小何</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18990725985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YN20230801庞琳02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花样旅途百分百双飞一动6日游（千古情）</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2023-08-06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7(6大1小)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2023-08-01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2023-08-06 MU5438 昆明→南充 15:40-17:4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1、袁金华</w:t>
            </w:r>
          </w:p>
        </w:tc>
        <w:tc>
          <w:tcPr>
            <w:tcW w:w="2310" w:type="dxa"/>
            <w:vAlign w:val="center"/>
            <w:gridSpan w:val="2"/>
          </w:tcPr>
          <w:p>
            <w:pPr/>
            <w:r>
              <w:rPr>
                <w:lang w:val="zh-CN"/>
                <w:rFonts w:ascii="Times New Roman" w:hAnsi="Times New Roman" w:cs="Times New Roman"/>
                <w:sz w:val="20"/>
                <w:szCs w:val="20"/>
                <w:color w:val="000000"/>
              </w:rPr>
              <w:t>512930196311060868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2、刘应基</w:t>
            </w:r>
          </w:p>
        </w:tc>
        <w:tc>
          <w:tcPr>
            <w:tcW w:w="2310" w:type="dxa"/>
            <w:vAlign w:val="center"/>
            <w:gridSpan w:val="2"/>
          </w:tcPr>
          <w:p>
            <w:pPr/>
            <w:r>
              <w:rPr>
                <w:lang w:val="zh-CN"/>
                <w:rFonts w:ascii="Times New Roman" w:hAnsi="Times New Roman" w:cs="Times New Roman"/>
                <w:sz w:val="20"/>
                <w:szCs w:val="20"/>
                <w:color w:val="000000"/>
              </w:rPr>
              <w:t>512930196206150853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3、任袁禹</w:t>
            </w:r>
          </w:p>
        </w:tc>
        <w:tc>
          <w:tcPr>
            <w:tcW w:w="2310" w:type="dxa"/>
            <w:vAlign w:val="center"/>
            <w:gridSpan w:val="2"/>
          </w:tcPr>
          <w:p>
            <w:pPr/>
            <w:r>
              <w:rPr>
                <w:lang w:val="zh-CN"/>
                <w:rFonts w:ascii="Times New Roman" w:hAnsi="Times New Roman" w:cs="Times New Roman"/>
                <w:sz w:val="20"/>
                <w:szCs w:val="20"/>
                <w:color w:val="000000"/>
              </w:rPr>
              <w:t>511381201101210872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4、袁诗涵</w:t>
            </w:r>
          </w:p>
        </w:tc>
        <w:tc>
          <w:tcPr>
            <w:tcW w:w="2310" w:type="dxa"/>
            <w:vAlign w:val="center"/>
            <w:gridSpan w:val="2"/>
          </w:tcPr>
          <w:p>
            <w:pPr/>
            <w:r>
              <w:rPr>
                <w:lang w:val="zh-CN"/>
                <w:rFonts w:ascii="Times New Roman" w:hAnsi="Times New Roman" w:cs="Times New Roman"/>
                <w:sz w:val="20"/>
                <w:szCs w:val="20"/>
                <w:color w:val="000000"/>
              </w:rPr>
              <w:t>511381201502260862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5、袁婷</w:t>
            </w:r>
          </w:p>
        </w:tc>
        <w:tc>
          <w:tcPr>
            <w:tcW w:w="2310" w:type="dxa"/>
            <w:vAlign w:val="center"/>
            <w:gridSpan w:val="2"/>
          </w:tcPr>
          <w:p>
            <w:pPr/>
            <w:r>
              <w:rPr>
                <w:lang w:val="zh-CN"/>
                <w:rFonts w:ascii="Times New Roman" w:hAnsi="Times New Roman" w:cs="Times New Roman"/>
                <w:sz w:val="20"/>
                <w:szCs w:val="20"/>
                <w:color w:val="000000"/>
              </w:rPr>
              <w:t>511381198603110885</w:t>
            </w:r>
          </w:p>
        </w:tc>
        <w:tc>
          <w:tcPr>
            <w:tcW w:w="2310" w:type="dxa"/>
            <w:vAlign w:val="center"/>
          </w:tcPr>
          <w:p>
            <w:pPr/>
            <w:r>
              <w:rPr>
                <w:lang w:val="zh-CN"/>
                <w:rFonts w:ascii="Times New Roman" w:hAnsi="Times New Roman" w:cs="Times New Roman"/>
                <w:sz w:val="20"/>
                <w:szCs w:val="20"/>
                <w:color w:val="000000"/>
              </w:rPr>
              <w:t>17781209241</w:t>
            </w:r>
          </w:p>
        </w:tc>
        <w:tc>
          <w:tcPr>
            <w:tcW w:w="2310" w:type="dxa"/>
            <w:vAlign w:val="center"/>
          </w:tcPr>
          <w:p>
            <w:pPr/>
            <w:r>
              <w:rPr>
                <w:lang w:val="zh-CN"/>
                <w:rFonts w:ascii="Times New Roman" w:hAnsi="Times New Roman" w:cs="Times New Roman"/>
                <w:sz w:val="20"/>
                <w:szCs w:val="20"/>
                <w:color w:val="000000"/>
              </w:rPr>
              <w:t>6、袁兴红</w:t>
            </w:r>
          </w:p>
        </w:tc>
        <w:tc>
          <w:tcPr>
            <w:tcW w:w="2310" w:type="dxa"/>
            <w:vAlign w:val="center"/>
            <w:gridSpan w:val="2"/>
          </w:tcPr>
          <w:p>
            <w:pPr/>
            <w:r>
              <w:rPr>
                <w:lang w:val="zh-CN"/>
                <w:rFonts w:ascii="Times New Roman" w:hAnsi="Times New Roman" w:cs="Times New Roman"/>
                <w:sz w:val="20"/>
                <w:szCs w:val="20"/>
                <w:color w:val="000000"/>
              </w:rPr>
              <w:t>511381198409180863</w:t>
            </w:r>
          </w:p>
        </w:tc>
        <w:tc>
          <w:tcPr>
            <w:tcW w:w="2310" w:type="dxa"/>
            <w:vAlign w:val="center"/>
          </w:tcPr>
          <w:p>
            <w:pPr/>
            <w:r>
              <w:rPr>
                <w:lang w:val="zh-CN"/>
                <w:rFonts w:ascii="Times New Roman" w:hAnsi="Times New Roman" w:cs="Times New Roman"/>
                <w:sz w:val="20"/>
                <w:szCs w:val="20"/>
                <w:color w:val="000000"/>
              </w:rPr>
              <w:t>17746736582</w:t>
            </w:r>
          </w:p>
        </w:tc>
      </w:tr>
      <w:tr>
        <w:tc>
          <w:tcPr>
            <w:tcW w:w="2310" w:type="dxa"/>
            <w:vAlign w:val="center"/>
          </w:tcPr>
          <w:p>
            <w:pPr/>
            <w:r>
              <w:rPr>
                <w:lang w:val="zh-CN"/>
                <w:rFonts w:ascii="Times New Roman" w:hAnsi="Times New Roman" w:cs="Times New Roman"/>
                <w:sz w:val="20"/>
                <w:szCs w:val="20"/>
                <w:color w:val="000000"/>
              </w:rPr>
              <w:t>7、袁舒然</w:t>
            </w:r>
          </w:p>
        </w:tc>
        <w:tc>
          <w:tcPr>
            <w:tcW w:w="2310" w:type="dxa"/>
            <w:vAlign w:val="center"/>
            <w:gridSpan w:val="2"/>
          </w:tcPr>
          <w:p>
            <w:pPr/>
            <w:r>
              <w:rPr>
                <w:lang w:val="zh-CN"/>
                <w:rFonts w:ascii="Times New Roman" w:hAnsi="Times New Roman" w:cs="Times New Roman"/>
                <w:sz w:val="20"/>
                <w:szCs w:val="20"/>
                <w:color w:val="000000"/>
              </w:rPr>
              <w:t>511381200911030887</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6</w:t>
            </w:r>
          </w:p>
        </w:tc>
        <w:tc>
          <w:tcPr>
            <w:tcW w:w="2310" w:type="dxa"/>
          </w:tcPr>
          <w:p>
            <w:pPr/>
            <w:r>
              <w:rPr>
                <w:lang w:val="zh-CN"/>
                <w:rFonts w:ascii="Times New Roman" w:hAnsi="Times New Roman" w:cs="Times New Roman"/>
                <w:sz w:val="20"/>
                <w:szCs w:val="20"/>
                <w:color w:val="000000"/>
              </w:rPr>
              <w:t>3580.00</w:t>
            </w:r>
          </w:p>
        </w:tc>
        <w:tc>
          <w:tcPr>
            <w:tcW w:w="2310" w:type="dxa"/>
          </w:tcPr>
          <w:p>
            <w:pPr/>
            <w:r>
              <w:rPr>
                <w:lang w:val="zh-CN"/>
                <w:rFonts w:ascii="Times New Roman" w:hAnsi="Times New Roman" w:cs="Times New Roman"/>
                <w:sz w:val="20"/>
                <w:szCs w:val="20"/>
                <w:color w:val="000000"/>
              </w:rPr>
              <w:t>21480.00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1880.00</w:t>
            </w:r>
          </w:p>
        </w:tc>
        <w:tc>
          <w:tcPr>
            <w:tcW w:w="2310" w:type="dxa"/>
          </w:tcPr>
          <w:p>
            <w:pPr/>
            <w:r>
              <w:rPr>
                <w:lang w:val="zh-CN"/>
                <w:rFonts w:ascii="Times New Roman" w:hAnsi="Times New Roman" w:cs="Times New Roman"/>
                <w:sz w:val="20"/>
                <w:szCs w:val="20"/>
                <w:color w:val="000000"/>
              </w:rPr>
              <w:t>1880.00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总金额：贰万叁仟叁佰陆拾元整</w:t>
            </w:r>
          </w:p>
        </w:tc>
        <w:tc>
          <w:tcPr>
            <w:tcW w:w="2310" w:type="dxa"/>
            <w:textDirection w:val="right"/>
            <w:gridSpan w:val="3"/>
          </w:tcPr>
          <w:p>
            <w:pPr/>
            <w:r>
              <w:rPr>
                <w:lang w:val="zh-CN"/>
                <w:rFonts w:ascii="Times New Roman" w:hAnsi="Times New Roman" w:cs="Times New Roman"/>
                <w:b/>
                <w:color w:val="FF0000"/>
              </w:rPr>
              <w:t>23360.00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2023/08/01</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贵宾乘机飞往昆明，我社专业人员安排接机，专属接送机服务，专业人员协助办理酒店入住手续。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2023/08/02</w:t>
            </w:r>
          </w:p>
        </w:tc>
        <w:tc>
          <w:tcPr>
            <w:tcW w:w="2310" w:type="dxa"/>
            <w:gridSpan w:val="7"/>
          </w:tcPr>
          <w:p>
            <w:pPr/>
            <w:r>
              <w:rPr>
                <w:lang w:val="zh-CN"/>
                <w:rFonts w:ascii="Times New Roman" w:hAnsi="Times New Roman" w:cs="Times New Roman"/>
                <w:b/>
                <w:color w:val="000000"/>
              </w:rPr>
              <w:t>昆明→石林→滇池海埂大坝→楚雄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提前约定时间起床，早餐后乘车前往石林，抵达后畅游AAAAA级风景区，天下第一奇观多姿多彩的喀斯特地貌、世界自然遗产【石林】（含电瓶车25元/人，游览时间为120分钟）观阿诗玛、剑峰池、望峰亭、双鸟渡食、石林湖、小石林等奇景，品味“群峰壁立，千嶂叠翠的壮美景观。中餐享用彝族家特色餐。下午乘车前往【滇池海埂大坝】观美丽的“高原明珠”滇池，眺望有“睡美人”山之美称的西山。随后乘车赴楚雄，晚餐感受民族歌舞伴餐，歌舞伴餐，视觉与味觉的双重体验，让游客体验彝家儿女火一样的热情......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2023/08/03</w:t>
            </w:r>
          </w:p>
        </w:tc>
        <w:tc>
          <w:tcPr>
            <w:tcW w:w="2310" w:type="dxa"/>
            <w:gridSpan w:val="7"/>
          </w:tcPr>
          <w:p>
            <w:pPr/>
            <w:r>
              <w:rPr>
                <w:lang w:val="zh-CN"/>
                <w:rFonts w:ascii="Times New Roman" w:hAnsi="Times New Roman" w:cs="Times New Roman"/>
                <w:b/>
                <w:color w:val="000000"/>
              </w:rPr>
              <w:t>楚雄→大理吉普车旅拍→圣托里尼理想邦→下午茶→网红S湾→红酒晚宴</w:t>
            </w:r>
            <w:r>
              <w:rPr>
                <w:lang w:val="zh-CN"/>
                <w:rFonts w:ascii="Times New Roman" w:hAnsi="Times New Roman" w:cs="Times New Roman"/>
                <w:b/>
                <w:color w:val="000000"/>
              </w:rPr>
              <w:tab/>
            </w:r>
            <w:r>
              <w:rPr>
                <w:lang w:val="zh-CN"/>
                <w:rFonts w:ascii="Times New Roman" w:hAnsi="Times New Roman" w:cs="Times New Roman"/>
                <w:b/>
                <w:color w:val="000000"/>
              </w:rPr>
              <w:t>住 宿</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提前约定时间起床，早餐后乘车前往大理，在阳光明媚天气里，我们可以乘坐【敞篷Jeep车旅拍】解锁大理新玩法，更拉风更炫酷，体验醉美的风光，体验纯粹、越野、拉风的新玩法，任性嗨爆朋友圈。随后我们将特意安排打卡大理最网红，洱海的城堡【咖啡色的圣托里尼-理想邦】这里是理想的乌托邦世界，在这里我们特意安排了最美悬崖观洱海，体验【下午茶】，徜徉在天空与海洋两者间的一个个梦境，从这里开始，随手ins风，都是面朝洱海，春暖花开。后乘车打卡大理最网红【网红S弯】，零距离贴近洱海，沿途欣赏苍山洱海美景，在洱海生态廊道上，享受着“最大理”的惬意生活，沿着洱海，或散步，或骑行，找一处安静的地方看潮起潮落、云卷云舒、海天一色.....……晚餐特意为您定制特色红酒小提琴晚宴，晚上特意甄选了大理海景酒店海景房，美梦与您相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2023/08/04</w:t>
            </w:r>
          </w:p>
        </w:tc>
        <w:tc>
          <w:tcPr>
            <w:tcW w:w="2310" w:type="dxa"/>
            <w:gridSpan w:val="7"/>
          </w:tcPr>
          <w:p>
            <w:pPr/>
            <w:r>
              <w:rPr>
                <w:lang w:val="zh-CN"/>
                <w:rFonts w:ascii="Times New Roman" w:hAnsi="Times New Roman" w:cs="Times New Roman"/>
                <w:b/>
                <w:color w:val="000000"/>
              </w:rPr>
              <w:t>大理古城→玉龙雪山大索道→蓝月谷→丽水金沙</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大理古城】大理古城又名叶榆城、紫城、中和镇。古城其历史可追溯至唐天宝年间，南诏王阁逻凤筑的羊苴咩城(今城之西三塔附近)，为其新都，享用中餐，下午乘车赴丽江，乘车前往乘车前往丽江游览【玉龙雪山风景区】，乘玉龙雪山大索道（玉龙雪山索道如遇停运或天气原因导致上不了，我们将调整为玉龙雪山索道换成云杉坪索道处理，差价现退）从海拔3000米的草甸出发，穿越高大挺拔的各种松林杉树，到达4506米高的雪山冰川，站在观景台观看玉龙雪山“日照金山”奇观，欣赏大自然恩赐的美景（已含大索道及环保车，游览时间约60分钟，不含排队时间），之后游【白水河，蓝月谷】（游览时间约30分钟，含电瓶车50元/人）（PS：景点前后顺序会根据当天实际情况以导游安排为准，玉龙雪山冰川公园大索道严卡时间安排，需提前订票，一旦锁定时间无法更改和退还，还请各位游客朋友配合游览安排时间。另由于不可抗因素或淡旺季索道配额等情况无法正常游览冰川公园大索道，我们会根据当天实际情况做备选方案调整改走小索道云杉坪或中索道牦牛坪，并根据实际情况退大索道早餐后游览【大理古城】大理古城又名叶榆城、紫城、中和镇。古城其历史可追溯至唐天宝年间，南诏王阁逻凤筑的羊苴咩城(今城之西三塔附近)，为其新都，享用中餐，下午乘车赴丽江，乘车前往乘车前往丽江游览【玉龙雪山风景区】，乘玉龙雪山大索道（玉龙雪山索道如遇停运或天气原因导致上不了，我们将调整为玉龙雪山索道换成云杉坪索道处理，差价现退）从海拔3000米的草甸出发，穿越高大挺拔的各种松林杉树，到达4506米高的雪山冰川，站在观景台观看玉龙雪山“日照金山”奇观，欣赏大自然恩赐的美景（已含大索道及环保车，游览时间约60分钟，不含排队时间），之后游【白水河，蓝月谷】（游览时间约30分钟，含电瓶车50元/人）（PS：景点前后顺序会根据当天实际情况以导游安排为准，玉龙雪山冰川公园大索道严卡时间安排，需提前订票，一旦锁定时间无法更改和退还，还请各位游客朋友配合游览安排时间。另由于不可抗因素或淡旺季索道配额等情况无法正常游览冰川公园大索道，我们会根据当天实际情况做备选方案调整改走小索道云杉坪或中索道牦牛坪，并根据实际情况退大索道差价）。晚餐后观看【丽水金沙】表演，【丽水金沙】通过优美的舞蹈语汇、扣人心弦的音乐曲调、丰富多彩的民族服饰、立体恢弘的舞蹈场面、出神入化的灯光效果，强化、提升了民族歌舞的表现力，对观众具有强烈的艺术冲击力和震撼。</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2023/08/05</w:t>
            </w:r>
          </w:p>
        </w:tc>
        <w:tc>
          <w:tcPr>
            <w:tcW w:w="2310" w:type="dxa"/>
            <w:gridSpan w:val="7"/>
          </w:tcPr>
          <w:p>
            <w:pPr/>
            <w:r>
              <w:rPr>
                <w:lang w:val="zh-CN"/>
                <w:rFonts w:ascii="Times New Roman" w:hAnsi="Times New Roman" w:cs="Times New Roman"/>
                <w:b/>
                <w:color w:val="000000"/>
              </w:rPr>
              <w:t>束河古镇→丽江千古情→大理→（动车）→昆明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览“世界文化遗产”丽江古城的重要组成部分，茶马互市交流地【束河古镇】（开放式古城，自由游览）。中餐后观看【丽江千古情】，丽江千古情是一生必看的演出。演出用独特的文化呈现方式、高科技的手段、最先进的舞台机械设备，集舞蹈、音乐、杂技、武打、情景剧等艺术形式，演绎了纳西创世纪的生命礼赞、泸沽湖女儿国的浪漫情怀、木府辉煌的兴盛和睦、马帮传奇的惊险震撼、玉龙第三国的生命绝唱、一花一天堂的情怀与胸襟……它是宋城用文化创意的思维方式与构建方法，打造的继《宋城千古情》、《三亚千古情》之后又一台大型室内歌舞演艺“秀”，极度震撼，视觉盛宴。后乘车前往大理，大理乘坐动车前往昆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2023/08/06</w:t>
            </w:r>
          </w:p>
        </w:tc>
        <w:tc>
          <w:tcPr>
            <w:tcW w:w="2310" w:type="dxa"/>
            <w:gridSpan w:val="7"/>
          </w:tcPr>
          <w:p>
            <w:pPr/>
            <w:r>
              <w:rPr>
                <w:lang w:val="zh-CN"/>
                <w:rFonts w:ascii="Times New Roman" w:hAnsi="Times New Roman" w:cs="Times New Roman"/>
                <w:b/>
                <w:color w:val="000000"/>
              </w:rPr>
              <w:t>昆明温馨的家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斗南花市】（13:00以前的航班无法安排），由我社工作人员安排在集散中心集散统一根据返程时间安排送机。在此，我社全体服务人员预祝您旅途平安，期待您再次来云南！温馨提示：1.酒店12：00退房，返程前请仔细整理好自己的行李物品及证件，请不要有所遗漏，核对自己的航班时间，避免增加您不必要的麻烦。2.感谢各位贵宾对我们工作的支持和理解，针对我们的不足，请留下您的宝贵意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小何</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2023/7/11 14:55:23</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