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涪江路乐天旅游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18883333401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XB20200809庞琳08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5(3大2小)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2020-08-09 D751 南充→兰州 07:59-13:41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2020-08-16 D756 兰州→南充 13:15-185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1、袁伏桃</w:t>
            </w:r>
          </w:p>
        </w:tc>
        <w:tc>
          <w:tcPr>
            <w:tcW w:w="2310" w:type="dxa"/>
            <w:vAlign w:val="center"/>
            <w:gridSpan w:val="2"/>
          </w:tcPr>
          <w:p>
            <w:pPr/>
            <w:r>
              <w:rPr>
                <w:lang w:val="zh-CN"/>
                <w:rFonts w:ascii="Times New Roman" w:hAnsi="Times New Roman" w:cs="Times New Roman"/>
                <w:sz w:val="20"/>
                <w:szCs w:val="20"/>
                <w:color w:val="000000"/>
              </w:rPr>
              <w:t>511303198107033869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2、黎媛宏</w:t>
            </w:r>
          </w:p>
        </w:tc>
        <w:tc>
          <w:tcPr>
            <w:tcW w:w="2310" w:type="dxa"/>
            <w:vAlign w:val="center"/>
            <w:gridSpan w:val="2"/>
          </w:tcPr>
          <w:p>
            <w:pPr/>
            <w:r>
              <w:rPr>
                <w:lang w:val="zh-CN"/>
                <w:rFonts w:ascii="Times New Roman" w:hAnsi="Times New Roman" w:cs="Times New Roman"/>
                <w:sz w:val="20"/>
                <w:szCs w:val="20"/>
                <w:color w:val="000000"/>
              </w:rPr>
              <w:t>511302201009150322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3、郝瑞欣</w:t>
            </w:r>
          </w:p>
        </w:tc>
        <w:tc>
          <w:tcPr>
            <w:tcW w:w="2310" w:type="dxa"/>
            <w:vAlign w:val="center"/>
            <w:gridSpan w:val="2"/>
          </w:tcPr>
          <w:p>
            <w:pPr/>
            <w:r>
              <w:rPr>
                <w:lang w:val="zh-CN"/>
                <w:rFonts w:ascii="Times New Roman" w:hAnsi="Times New Roman" w:cs="Times New Roman"/>
                <w:sz w:val="20"/>
                <w:szCs w:val="20"/>
                <w:color w:val="000000"/>
              </w:rPr>
              <w:t>13063519810902526X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4、张媛媛</w:t>
            </w:r>
          </w:p>
        </w:tc>
        <w:tc>
          <w:tcPr>
            <w:tcW w:w="2310" w:type="dxa"/>
            <w:vAlign w:val="center"/>
            <w:gridSpan w:val="2"/>
          </w:tcPr>
          <w:p>
            <w:pPr/>
            <w:r>
              <w:rPr>
                <w:lang w:val="zh-CN"/>
                <w:rFonts w:ascii="Times New Roman" w:hAnsi="Times New Roman" w:cs="Times New Roman"/>
                <w:sz w:val="20"/>
                <w:szCs w:val="20"/>
                <w:color w:val="000000"/>
              </w:rPr>
              <w:t>511302198010081147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5、马铭微</w:t>
            </w:r>
          </w:p>
        </w:tc>
        <w:tc>
          <w:tcPr>
            <w:tcW w:w="2310" w:type="dxa"/>
            <w:vAlign w:val="center"/>
            <w:gridSpan w:val="2"/>
          </w:tcPr>
          <w:p>
            <w:pPr/>
            <w:r>
              <w:rPr>
                <w:lang w:val="zh-CN"/>
                <w:rFonts w:ascii="Times New Roman" w:hAnsi="Times New Roman" w:cs="Times New Roman"/>
                <w:sz w:val="20"/>
                <w:szCs w:val="20"/>
                <w:color w:val="000000"/>
              </w:rPr>
              <w:t>511303200910237211</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1970.00</w:t>
            </w:r>
          </w:p>
        </w:tc>
        <w:tc>
          <w:tcPr>
            <w:tcW w:w="2310" w:type="dxa"/>
          </w:tcPr>
          <w:p>
            <w:pPr/>
            <w:r>
              <w:rPr>
                <w:lang w:val="zh-CN"/>
                <w:rFonts w:ascii="Times New Roman" w:hAnsi="Times New Roman" w:cs="Times New Roman"/>
                <w:sz w:val="20"/>
                <w:szCs w:val="20"/>
                <w:color w:val="000000"/>
              </w:rPr>
              <w:t>5910.00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1150.00</w:t>
            </w:r>
          </w:p>
        </w:tc>
        <w:tc>
          <w:tcPr>
            <w:tcW w:w="2310" w:type="dxa"/>
          </w:tcPr>
          <w:p>
            <w:pPr/>
            <w:r>
              <w:rPr>
                <w:lang w:val="zh-CN"/>
                <w:rFonts w:ascii="Times New Roman" w:hAnsi="Times New Roman" w:cs="Times New Roman"/>
                <w:sz w:val="20"/>
                <w:szCs w:val="20"/>
                <w:color w:val="000000"/>
              </w:rPr>
              <w:t>2300.00</w:t>
            </w:r>
          </w:p>
        </w:tc>
        <w:tc>
          <w:tcPr>
            <w:tcW w:w="2310" w:type="dxa"/>
            <w:gridSpan w:val="2"/>
          </w:tcPr>
          <w:p>
            <w:pPr/>
            <w:r>
              <w:rPr>
                <w:lang w:val="zh-CN"/>
                <w:rFonts w:ascii="Times New Roman" w:hAnsi="Times New Roman" w:cs="Times New Roman"/>
                <w:sz w:val="20"/>
                <w:szCs w:val="20"/>
                <w:color w:val="000000"/>
              </w:rPr>
              <w:t>儿童动车半票</w:t>
            </w: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950.00</w:t>
            </w:r>
          </w:p>
        </w:tc>
        <w:tc>
          <w:tcPr>
            <w:tcW w:w="2310" w:type="dxa"/>
          </w:tcPr>
          <w:p>
            <w:pPr/>
            <w:r>
              <w:rPr>
                <w:lang w:val="zh-CN"/>
                <w:rFonts w:ascii="Times New Roman" w:hAnsi="Times New Roman" w:cs="Times New Roman"/>
                <w:sz w:val="20"/>
                <w:szCs w:val="20"/>
                <w:color w:val="000000"/>
              </w:rPr>
              <w:t>950.00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总金额：玖仟壹佰陆拾元整</w:t>
            </w:r>
          </w:p>
        </w:tc>
        <w:tc>
          <w:tcPr>
            <w:tcW w:w="2310" w:type="dxa"/>
            <w:textDirection w:val="right"/>
            <w:gridSpan w:val="3"/>
          </w:tcPr>
          <w:p>
            <w:pPr/>
            <w:r>
              <w:rPr>
                <w:lang w:val="zh-CN"/>
                <w:rFonts w:ascii="Times New Roman" w:hAnsi="Times New Roman" w:cs="Times New Roman"/>
                <w:b/>
                <w:color w:val="FF0000"/>
              </w:rPr>
              <w:t>9160.00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2020/08/09</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2020/08/10</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2020/08/11</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2020/08/12</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2020/08/13</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2020/08/14</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2020/08/15</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2020/08/16</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王君</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2020/8/5 13:49:24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