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国旅（四川）旅行社有限公司南充分公司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17778663900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GZ20230821庞琳22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【管家壹号】纯玩双动5日游（住西江）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4(3大1婴)</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2023-08-21 D806 南充北→贵阳北 17:35-22:23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2023-08-25 G2372 贵阳东→重庆西 16:51-18：5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1、李蕾</w:t>
            </w:r>
          </w:p>
        </w:tc>
        <w:tc>
          <w:tcPr>
            <w:tcW w:w="2310" w:type="dxa"/>
            <w:vAlign w:val="center"/>
            <w:gridSpan w:val="2"/>
          </w:tcPr>
          <w:p>
            <w:pPr/>
            <w:r>
              <w:rPr>
                <w:lang w:val="zh-CN"/>
                <w:rFonts w:ascii="Times New Roman" w:hAnsi="Times New Roman" w:cs="Times New Roman"/>
                <w:sz w:val="20"/>
                <w:szCs w:val="20"/>
                <w:color w:val="000000"/>
              </w:rPr>
              <w:t>511323199707294368</w:t>
            </w:r>
          </w:p>
        </w:tc>
        <w:tc>
          <w:tcPr>
            <w:tcW w:w="2310" w:type="dxa"/>
            <w:vAlign w:val="center"/>
          </w:tcPr>
          <w:p>
            <w:pPr/>
            <w:r>
              <w:rPr>
                <w:lang w:val="zh-CN"/>
                <w:rFonts w:ascii="Times New Roman" w:hAnsi="Times New Roman" w:cs="Times New Roman"/>
                <w:sz w:val="20"/>
                <w:szCs w:val="20"/>
                <w:color w:val="000000"/>
              </w:rPr>
              <w:t>13699696682</w:t>
            </w:r>
          </w:p>
        </w:tc>
        <w:tc>
          <w:tcPr>
            <w:tcW w:w="2310" w:type="dxa"/>
            <w:vAlign w:val="center"/>
          </w:tcPr>
          <w:p>
            <w:pPr/>
            <w:r>
              <w:rPr>
                <w:lang w:val="zh-CN"/>
                <w:rFonts w:ascii="Times New Roman" w:hAnsi="Times New Roman" w:cs="Times New Roman"/>
                <w:sz w:val="20"/>
                <w:szCs w:val="20"/>
                <w:color w:val="000000"/>
              </w:rPr>
              <w:t>2、雷莉君</w:t>
            </w:r>
          </w:p>
        </w:tc>
        <w:tc>
          <w:tcPr>
            <w:tcW w:w="2310" w:type="dxa"/>
            <w:vAlign w:val="center"/>
            <w:gridSpan w:val="2"/>
          </w:tcPr>
          <w:p>
            <w:pPr/>
            <w:r>
              <w:rPr>
                <w:lang w:val="zh-CN"/>
                <w:rFonts w:ascii="Times New Roman" w:hAnsi="Times New Roman" w:cs="Times New Roman"/>
                <w:sz w:val="20"/>
                <w:szCs w:val="20"/>
                <w:color w:val="000000"/>
              </w:rPr>
              <w:t>512926197906044365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3、李欢</w:t>
            </w:r>
          </w:p>
        </w:tc>
        <w:tc>
          <w:tcPr>
            <w:tcW w:w="2310" w:type="dxa"/>
            <w:vAlign w:val="center"/>
            <w:gridSpan w:val="2"/>
          </w:tcPr>
          <w:p>
            <w:pPr/>
            <w:r>
              <w:rPr>
                <w:lang w:val="zh-CN"/>
                <w:rFonts w:ascii="Times New Roman" w:hAnsi="Times New Roman" w:cs="Times New Roman"/>
                <w:sz w:val="20"/>
                <w:szCs w:val="20"/>
                <w:color w:val="000000"/>
              </w:rPr>
              <w:t>511323200409084368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4、申欣语</w:t>
            </w:r>
          </w:p>
        </w:tc>
        <w:tc>
          <w:tcPr>
            <w:tcW w:w="2310" w:type="dxa"/>
            <w:vAlign w:val="center"/>
            <w:gridSpan w:val="2"/>
          </w:tcPr>
          <w:p>
            <w:pPr/>
            <w:r>
              <w:rPr>
                <w:lang w:val="zh-CN"/>
                <w:rFonts w:ascii="Times New Roman" w:hAnsi="Times New Roman" w:cs="Times New Roman"/>
                <w:sz w:val="20"/>
                <w:szCs w:val="20"/>
                <w:color w:val="000000"/>
              </w:rPr>
              <w:t>51130420230129008X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1430.00</w:t>
            </w:r>
          </w:p>
        </w:tc>
        <w:tc>
          <w:tcPr>
            <w:tcW w:w="2310" w:type="dxa"/>
          </w:tcPr>
          <w:p>
            <w:pPr/>
            <w:r>
              <w:rPr>
                <w:lang w:val="zh-CN"/>
                <w:rFonts w:ascii="Times New Roman" w:hAnsi="Times New Roman" w:cs="Times New Roman"/>
                <w:sz w:val="20"/>
                <w:szCs w:val="20"/>
                <w:color w:val="000000"/>
              </w:rPr>
              <w:t>4290.00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退房费</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-240.00</w:t>
            </w:r>
          </w:p>
        </w:tc>
        <w:tc>
          <w:tcPr>
            <w:tcW w:w="2310" w:type="dxa"/>
          </w:tcPr>
          <w:p>
            <w:pPr/>
            <w:r>
              <w:rPr>
                <w:lang w:val="zh-CN"/>
                <w:rFonts w:ascii="Times New Roman" w:hAnsi="Times New Roman" w:cs="Times New Roman"/>
                <w:sz w:val="20"/>
                <w:szCs w:val="20"/>
                <w:color w:val="000000"/>
              </w:rPr>
              <w:t>-240.00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总金额：肆仟零伍拾元整</w:t>
            </w:r>
          </w:p>
        </w:tc>
        <w:tc>
          <w:tcPr>
            <w:tcW w:w="2310" w:type="dxa"/>
            <w:textDirection w:val="right"/>
            <w:gridSpan w:val="3"/>
          </w:tcPr>
          <w:p>
            <w:pPr/>
            <w:r>
              <w:rPr>
                <w:lang w:val="zh-CN"/>
                <w:rFonts w:ascii="Times New Roman" w:hAnsi="Times New Roman" w:cs="Times New Roman"/>
                <w:b/>
                <w:color w:val="FF0000"/>
              </w:rPr>
              <w:t>4050.00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2023/08/21</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2023/08/22</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2023/08/23</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2023/08/24</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2023/08/25</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2023/8/20 9:57:04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