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灿星国际旅行社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殷万军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13897445433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2020-01-02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2020-01-09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32010619670907242X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18909789676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酒店内自费的个人用品，个人消费等；2、不可抗因素导致的额外费用；3、航空公司临时加收燃油附加费，以及航空保险。4、服务项目未提到的其他一切费用5、如果旅游目的地国家政策性调整门票或其他相关价格6、导游推荐自费项目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乡索道30元/人、大理古维30元/人、大理古城电瓶车35元/人、丽江拉市海公园电瓶车40元/人、丽江东巴秘境电瓶车60元/人、野象谷索道单程50元/人往返70元/人、森林公园电瓶车50元/人、花卉园电瓶车40元/人版纳澜沧江游轮200元、曼听篝火200元/人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 xml:space="preserve"> 殷万军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2020/1/3 9:55:45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