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直客吴校长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18697187507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张万春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15003601997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XNN10MU200119A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日本三古都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总金额：肆万柒仟肆佰元整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47400.00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吴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张万春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2020/1/26 20:52:37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