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曹律</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曹率</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13555555555</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HL-GX-20200108-A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澳大利亚双飞8日游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2020-01-08</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2020-01-08 CA789 成都→澳大利亚 00:30-20:00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2020-01-15 CA987 澳大利亚→成都 03:00-24:0</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1、王娟</w:t>
            </w:r>
          </w:p>
        </w:tc>
        <w:tc>
          <w:tcPr>
            <w:tcW w:w="2310" w:type="dxa"/>
            <w:vAlign w:val="center"/>
          </w:tcPr>
          <w:p>
            <w:pPr/>
            <w:r>
              <w:rPr>
                <w:lang w:val="zh-CN"/>
                <w:rFonts w:ascii="Times New Roman" w:hAnsi="Times New Roman" w:cs="Times New Roman"/>
                <w:sz w:val="20"/>
                <w:szCs w:val="20"/>
                <w:color w:val="000000"/>
              </w:rPr>
              <w:t>WANG/JUAN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1993-06-06</w:t>
            </w:r>
          </w:p>
        </w:tc>
        <w:tc>
          <w:tcPr>
            <w:tcW w:w="2310" w:type="dxa"/>
            <w:vAlign w:val="center"/>
          </w:tcPr>
          <w:p>
            <w:pPr/>
          </w:p>
        </w:tc>
        <w:tc>
          <w:tcPr>
            <w:tcW w:w="2310" w:type="dxa"/>
            <w:vAlign w:val="center"/>
          </w:tcPr>
          <w:p>
            <w:pPr/>
          </w:p>
        </w:tc>
        <w:tc>
          <w:tcPr>
            <w:tcW w:w="2310" w:type="dxa"/>
            <w:vAlign w:val="center"/>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21600.00</w:t>
            </w:r>
          </w:p>
        </w:tc>
        <w:tc>
          <w:tcPr>
            <w:tcW w:w="2310" w:type="dxa"/>
          </w:tcPr>
          <w:p>
            <w:pPr/>
            <w:r>
              <w:rPr>
                <w:lang w:val="zh-CN"/>
                <w:rFonts w:ascii="Times New Roman" w:hAnsi="Times New Roman" w:cs="Times New Roman"/>
                <w:sz w:val="20"/>
                <w:szCs w:val="20"/>
                <w:color w:val="000000"/>
              </w:rPr>
              <w:t>21600.00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总金额：贰万壹仟陆佰元整</w:t>
            </w:r>
          </w:p>
        </w:tc>
        <w:tc>
          <w:tcPr>
            <w:tcW w:w="2310" w:type="dxa"/>
            <w:textDirection w:val="right"/>
            <w:gridSpan w:val="3"/>
          </w:tcPr>
          <w:p>
            <w:pPr/>
            <w:r>
              <w:rPr>
                <w:lang w:val="zh-CN"/>
                <w:rFonts w:ascii="Times New Roman" w:hAnsi="Times New Roman" w:cs="Times New Roman"/>
                <w:b/>
                <w:color w:val="FF0000"/>
              </w:rPr>
              <w:t>21600.00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2020/01/08</w:t>
            </w:r>
          </w:p>
        </w:tc>
        <w:tc>
          <w:tcPr>
            <w:tcW w:w="2310" w:type="dxa"/>
            <w:gridSpan w:val="7"/>
          </w:tcPr>
          <w:p>
            <w:pPr/>
            <w:r>
              <w:rPr>
                <w:lang w:val="zh-CN"/>
                <w:rFonts w:ascii="Times New Roman" w:hAnsi="Times New Roman" w:cs="Times New Roman"/>
                <w:b/>
                <w:color w:val="000000"/>
              </w:rPr>
              <w:t>成都（集合）(飞机)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于今天晚上9点30分，在成都双流机场集合，准备搭乘第二天凌晨的航班，经首尔转机飞往澳大利亚。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vAlign w:val="center"/>
            <w:vMerge w:val="restart"/>
          </w:tcPr>
          <w:p>
            <w:pPr/>
            <w:r>
              <w:rPr>
                <w:lang w:val="zh-CN"/>
                <w:rFonts w:ascii="Times New Roman" w:hAnsi="Times New Roman" w:cs="Times New Roman"/>
                <w:sz w:val="20"/>
                <w:szCs w:val="20"/>
                <w:color w:val="000000"/>
              </w:rPr>
              <w:t>2020/01/09</w:t>
            </w:r>
          </w:p>
        </w:tc>
        <w:tc>
          <w:tcPr>
            <w:tcW w:w="2310" w:type="dxa"/>
            <w:gridSpan w:val="7"/>
          </w:tcPr>
          <w:p>
            <w:pPr/>
            <w:r>
              <w:rPr>
                <w:lang w:val="zh-CN"/>
                <w:rFonts w:ascii="Times New Roman" w:hAnsi="Times New Roman" w:cs="Times New Roman"/>
                <w:b/>
                <w:color w:val="000000"/>
              </w:rPr>
              <w:t>成都AIR首尔AIR澳大利亚(飞机)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参考航班：CA324 00200440 CA222 11001100乘机飞往澳大利亚。抵达后享用午餐，后送入酒店休息，下午自由活动。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早餐：无；午餐：飞机餐；晚餐：无；住宿：澳大利亚</w:t>
            </w:r>
          </w:p>
        </w:tc>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堪培拉(Canberra)一日游(汽车)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7:30am酒店集合，驱车南下澳洲首都堪培拉，抵达后参观小人国花园，随后参观格里芬湖和皇家铸币厂。约下午3:30pm回程，回到悉尼市区约7:00pm，之后回到酒店休息。车南下澳洲首都堪培拉，抵达后参观小人国花园。小人国地处市中心以北11公里处，展示了澳洲和世界上著名的标志性建筑的模型景观，还有浓厚澳洲特色的小山村、板球之家、英国民俗村和民宅花园等。于中餐厅享用午餐后，前往参观人工湖、喷泉、首都展览馆。包括堪培拉市的灵魂格里芬湖,途经联邦大桥，前往皇家铸币厂参观，团友更可亲手铸造全新的一元硬币。游览大使馆区、参观堪培拉国会大厦。途径皇帝大桥，前往战争纪念馆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蓝山(Blue Mountain)一日游(汽车)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6:30am酒店集合，前往费得戴尔野生动物公园游玩，随后继续驱车沿三十二号公路直上海拔一千一百米高的蓝山三姐妹峰，前往库姆瑞土著文化中心，观看土著人舞蹈表演。于6:00pm左右抵达酒店。蓝山森林观光火车将于2019.6.11-21期间例行维修，不对外开放，请知悉。费得戴尔野生动物公园位于悉尼西部，是澳洲最大的拥有本土动物和鸟类的私人动物园之一，这里拥有超过1,700种本土动物，您可以近距离观看考拉与亲手喂养袋鼠。您还将遇到湾鳄Ngukurr，这种鳄鱼是世界上现存最大的爬行动物。动物园每天上午9:00到下午5:00开放，设有鹤鸵和袋鼬饲养区，您可以近距离观察这些美丽的濒危动物，尽情观赏在自然森林环境中澳洲独特的野生动物。库姆瑞土著文化中心-体验原汁原味的风土人情来到这里，你能了解澳大利亚土著文化，接触陈列在土著文化中心里传统工具的用途，欣赏民族舞蹈表演和迪吉里杜管演奏。歌舞会包括脸涂油漆的原住民身穿传统衣饰表演舞蹈，展示澳大利亚土著神话和原始生活方式。这绝对会是一次感受原汁原味异域文化不容错失的机会。流传千年的凄美部落故事-三姐妹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悉尼(Sydney) - 墨尔本市区(Melbourne) - 菲利普岛(Phillip Island)(飞机)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送往悉尼国内机场，自行登机乘坐指定航班前往墨尔本。导游接机后，参观墨尔本市区名胜：参观拥有160多年历史的旧国会大厦，前往壮观的圣帕特里克大教堂；都市绿洲Fitzroy公园小憩片刻并且参观库克船长的小屋；乘坐游船游览雅拉河两岸风光，唐人街自由活动后，登上墨尔本最高观景点—尤里卡88层观景台俯瞰墨尔本全貌。随后前往澳州最大的皇冠赌场一试运气。下午前往菲利普岛，观赏世界上最小的神仙企鹅，夏季可选择参观巧克力工厂，亲身体验制造巧克力的乐趣，约22:00pm回酒店休息。2019.4.1开始包含企鹅岛Marupark动物园以及企鹅岛普通看台门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2020/01/13</w:t>
            </w:r>
          </w:p>
        </w:tc>
        <w:tc>
          <w:tcPr>
            <w:tcW w:w="2310" w:type="dxa"/>
            <w:gridSpan w:val="7"/>
          </w:tcPr>
          <w:p>
            <w:pPr/>
            <w:r>
              <w:rPr>
                <w:lang w:val="zh-CN"/>
                <w:rFonts w:ascii="Times New Roman" w:hAnsi="Times New Roman" w:cs="Times New Roman"/>
                <w:b/>
                <w:color w:val="000000"/>
              </w:rPr>
              <w:t>大洋路一日游(The Great Ocean Road)(巴士)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前往大洋路，一路沿着海岸线行驶，在阿波罗湾小镇享用午餐，下午抵达最著名的十二门徒石，欣赏伦敦桥，洛克阿德峡谷等绝美风景，19:30-20:00左右返回到墨尔本市区，送往酒店休息。墨尔本的大洋路与美国的1号公路并称为“一生中必去的公路”。一路将尽情领略最美公路的无穷魅力，路上有惊涛拍岸的断崖、千姿百态的海上奇岩、群鸟翱翔的雨林、曲线优美的海岸线……时而与大海相伴，时而穿行在原始森林，仿佛置身人间仙境。沿途公路犹如浮在海上的飘带盘旋而上，车子也随着公路而高低起伏、蜿蜒盘旋，尤其在洛恩小镇与阿波罗湾之间地形险峻、蜿蜒曲折的路面上驰骋，时而急弯曲行，时而开阔直行，充满惊险和刺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库兰达小镇(Kuranda Town)(巴士)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8:30am左右在酒店集合，乘车前往库兰达热带雨林，乘坐雨林缆车或火车，享用丰盛的澳式烧烤自助午餐。下午观看土著人舞蹈表演，乘坐水路两栖战车，深入雨林深处，听导游介绍各种雨林动植物。著名作家T.S.Eliot曾说，旅行的意义不仅仅是为了到达终点，更重要的是在于沿途的风景，这句话对于库兰达是非常准确的形容。如果来凯恩斯旅游，这个位于热带雨林的村落是绝对值得推荐的一站。来到这个位于凯恩斯西北25公里处的库兰达小镇有两种最特别的方式，您既可以乘坐童话一般的热带雨林火车，也可以选择热带雨林缆车前往：库兰达观光火车建于1891年，全程包括15个隧道，93个弯道以及无数个桥梁。沿途将观赏到壮观的雨林美景，历经两个小时的车程。</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2020/01/15</w:t>
            </w:r>
          </w:p>
        </w:tc>
        <w:tc>
          <w:tcPr>
            <w:tcW w:w="2310" w:type="dxa"/>
            <w:gridSpan w:val="7"/>
          </w:tcPr>
          <w:p>
            <w:pPr/>
            <w:r>
              <w:rPr>
                <w:lang w:val="zh-CN"/>
                <w:rFonts w:ascii="Times New Roman" w:hAnsi="Times New Roman" w:cs="Times New Roman"/>
                <w:b/>
                <w:color w:val="000000"/>
              </w:rPr>
              <w:t>凯恩斯自由活动(Free Time) - 凯恩斯机场送机(Cairns Airport Drop-off) - 悉尼(Sydney) 飞行约2H55Min(飞机)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凯恩自由活动可以让您放慢下脚步，充分的感受澳洲的生活气息。可以去凯恩斯中心逛街购物，DFS环球免税店可是购物狂人不能错过的。不想购物的话，也可以坐下来惬意的喝杯咖啡。在市中心可以淘一些具有当地特色的手工艺品，或者购买些澳洲特产例如猫眼石、钻石及珍珠，美食也是必尝的。市中心有各种佳肴，海鲜是一定不能错过的。如果感兴趣，可以尝试下澳洲特色野味例如鳄鱼肉、袋鼠肉或者鹿肉。结束一天的行程后，乘坐飞机返回悉尼。</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早餐：含；午餐：含；晚餐：不含；住宿：无</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酒店：9晚当地星级酒店住宿（不另加床）及早餐。导游司机：行程中的中英文专职双语导游和司机服务。交通：豪华空调巴士(包括巴士行车责任保险)。接送机：机场接送服务。机票：澳洲内陆机票3程。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入团须知订购成功后，您立刻会通过E-Mail收到［预订单］。我们会在两个工作日内将最终确认的［电子旅行凭证］发到您的邮箱。我们建议您在收到［电子旅行凭证］后再预定机票。行程先后顺序有可能根据您所选择的出发时间、天气等情况有所调整，行程内容不会更改。每房只提供一次免费接送机，如若加订行程前后酒店，不提供免费接送机服务。如有需要，建议提前与路路行客服联系，为您安排付费接送机服务。加订酒店价格会由于节假日影响而上浮，并且酒店一但加订确认，将无法取消，建议加订之前与路路行客服联系。酒店价格因为淡旺季原因，价格会有浮动，请以最终确认价格为准。境内机票为实时价格，价格有可能浮动。澳洲境内航班仅限5-7kg的手提行李。如需托运行李需要额外收取费用。请提前至少72小时前通知客服，机场购买行李价格将会双倍计算。行程最后将返回悉尼，若有变动，请咨询客服确定行程及机票价格。旺季、节假日价钱或有浮动，请以Lulutrip客服的最终报价为准，建议提早60天订购。请提早10分钟到达指定上车点等候上车，迟到或者缺席等于自行取消行程，我司不退还任何费用。儿童价格适用于2-12岁，需有2位成人陪同，儿童不占床。如一个大人带儿童，儿童需全价。2岁以下儿童内陆段机票免费，其他价格同2-12岁儿童。2岁以下婴儿每人每天加收25澳币。为了其他旅客的安全和权益，于旅游车上，绝对禁止任何食物或饮料（瓶装水除外），任何热食禁止携带上车，如有不便之处，敬请原谅。费用只包含早餐，行程中午晚餐需自费。为了不影响行程安排，请提前15分钟到达上车地点等候上车，迟到或者缺席等于自行取消行程，不退还任何费用。澳洲境内航班仅限7-10kg的手提行李。如需托运行李需要额外收取费用。请提前至少72小时前通知客服，机场购买行李价格将会双倍计算。点若客人要求参加导游安排以外的行程，有可能需要自行安排交通。请向导游咨询。客人自行购买的门票不包含酒店接送服务。夏季动植物园湿热，蚊虫较多，请做好防蚊虫叮咬措施。澳洲紫外线强，户外活动做好防晒准备。请自备相关药物，以免出现水土不服，常用药物如：胃肠药、感冒药、晕车药、私人习惯性药物等。澳洲酒店没有挂星制度，行程中所列的星级标准为澳洲当地行业参考标准。此产品包含境内机票，订单一经确认，酒店、机票不可退改。所有自选项目以及景点门票必须由本公司导游统一购买，如游客自行购买，本公司概不负责运输责任。地接公司将会为您安排熟悉本地风土人情的中文司导，行程中每个城市的司导可能有所调整，请知悉。如因意外事件及不可抗力因素，包括但不限于，航空公司运力调配、航权审核、机场临时关闭、天气原因、航空管制等，导致航班取消或延期的，恕我司不因此承担任何责任。我们将尽最大努力协助您办理行程变更事宜，如产生差价，多退少补。强烈建议您出行前购买旅行保险，以防损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曹率</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2020/1/2 19:06:29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