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曹率（同行）</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13540797994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唐琴梅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18781933732</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YNXL20200110-A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丽江玉龙雪山双飞5日游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2020-01-14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3880.00</w:t>
            </w:r>
          </w:p>
        </w:tc>
        <w:tc>
          <w:tcPr>
            <w:tcW w:w="2310" w:type="dxa"/>
          </w:tcPr>
          <w:p>
            <w:pPr/>
            <w:r>
              <w:rPr>
                <w:lang w:val="zh-CN"/>
                <w:rFonts w:ascii="Times New Roman" w:hAnsi="Times New Roman" w:cs="Times New Roman"/>
                <w:sz w:val="20"/>
                <w:szCs w:val="20"/>
                <w:color w:val="000000"/>
              </w:rPr>
              <w:t>3880.00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3880.00</w:t>
            </w:r>
          </w:p>
        </w:tc>
        <w:tc>
          <w:tcPr>
            <w:tcW w:w="2310" w:type="dxa"/>
          </w:tcPr>
          <w:p>
            <w:pPr/>
            <w:r>
              <w:rPr>
                <w:lang w:val="zh-CN"/>
                <w:rFonts w:ascii="Times New Roman" w:hAnsi="Times New Roman" w:cs="Times New Roman"/>
                <w:sz w:val="20"/>
                <w:szCs w:val="20"/>
                <w:color w:val="000000"/>
              </w:rPr>
              <w:t>3880.00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总金额：柒仟柒佰陆拾元整</w:t>
            </w:r>
          </w:p>
        </w:tc>
        <w:tc>
          <w:tcPr>
            <w:tcW w:w="2310" w:type="dxa"/>
            <w:textDirection w:val="right"/>
            <w:gridSpan w:val="3"/>
          </w:tcPr>
          <w:p>
            <w:pPr/>
            <w:r>
              <w:rPr>
                <w:lang w:val="zh-CN"/>
                <w:rFonts w:ascii="Times New Roman" w:hAnsi="Times New Roman" w:cs="Times New Roman"/>
                <w:b/>
                <w:color w:val="FF0000"/>
              </w:rPr>
              <w:t>7760.00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测试线路</w:t>
            </w:r>
          </w:p>
        </w:tc>
        <w:tc>
          <w:tcPr>
            <w:tcW w:w="2310" w:type="dxa"/>
            <w:gridSpan w:val="2"/>
          </w:tcPr>
          <w:p>
            <w:pPr/>
            <w:r>
              <w:rPr>
                <w:lang w:val="zh-CN"/>
                <w:rFonts w:ascii="Times New Roman" w:hAnsi="Times New Roman" w:cs="Times New Roman"/>
                <w:sz w:val="20"/>
                <w:szCs w:val="20"/>
                <w:color w:val="000000"/>
              </w:rPr>
              <w:t>测试</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2020/01/10</w:t>
            </w:r>
          </w:p>
        </w:tc>
        <w:tc>
          <w:tcPr>
            <w:tcW w:w="2310" w:type="dxa"/>
            <w:gridSpan w:val="7"/>
          </w:tcPr>
          <w:p>
            <w:pPr/>
            <w:r>
              <w:rPr>
                <w:lang w:val="zh-CN"/>
                <w:rFonts w:ascii="Times New Roman" w:hAnsi="Times New Roman" w:cs="Times New Roman"/>
                <w:b/>
                <w:color w:val="000000"/>
              </w:rPr>
              <w:t>第一天：全国各地--昆明接机--入住温泉酒店--自由活动；(飞机)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2020/01/11</w:t>
            </w:r>
          </w:p>
        </w:tc>
        <w:tc>
          <w:tcPr>
            <w:tcW w:w="2310" w:type="dxa"/>
            <w:gridSpan w:val="7"/>
          </w:tcPr>
          <w:p>
            <w:pPr/>
            <w:r>
              <w:rPr>
                <w:lang w:val="zh-CN"/>
                <w:rFonts w:ascii="Times New Roman" w:hAnsi="Times New Roman" w:cs="Times New Roman"/>
                <w:b/>
                <w:color w:val="000000"/>
              </w:rPr>
              <w:t>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2020/01/12</w:t>
            </w:r>
          </w:p>
        </w:tc>
        <w:tc>
          <w:tcPr>
            <w:tcW w:w="2310" w:type="dxa"/>
            <w:gridSpan w:val="7"/>
          </w:tcPr>
          <w:p>
            <w:pPr/>
            <w:r>
              <w:rPr>
                <w:lang w:val="zh-CN"/>
                <w:rFonts w:ascii="Times New Roman" w:hAnsi="Times New Roman" w:cs="Times New Roman"/>
                <w:b/>
                <w:color w:val="000000"/>
              </w:rPr>
              <w:t>第三天：大理古城—洱海私人游艇----吉普车环海--入住酒店(飞机)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2020/01/13</w:t>
            </w:r>
          </w:p>
        </w:tc>
        <w:tc>
          <w:tcPr>
            <w:tcW w:w="2310" w:type="dxa"/>
            <w:gridSpan w:val="7"/>
          </w:tcPr>
          <w:p>
            <w:pPr/>
            <w:r>
              <w:rPr>
                <w:lang w:val="zh-CN"/>
                <w:rFonts w:ascii="Times New Roman" w:hAnsi="Times New Roman" w:cs="Times New Roman"/>
                <w:b/>
                <w:color w:val="000000"/>
              </w:rPr>
              <w:t>第四天：大理--丽江--玉龙雪山--冰川大索道--蓝月谷--丽水金沙；(1)</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四天：大理--丽江--玉龙雪山--冰川大索道--蓝月谷--丽水金沙；第四天：大理--丽江--玉龙雪山--冰川大索道--蓝月谷--丽水金沙；第四天：大理--丽江--玉龙雪山--冰川大索道--蓝月谷--丽水金沙；第四天：大理--丽江--玉龙雪山--冰川大索道--蓝月谷--丽水金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早餐：1；午餐：1；晚餐：1；住宿：1</w:t>
            </w:r>
          </w:p>
        </w:tc>
      </w:tr>
      <w:tr>
        <w:tc>
          <w:tcPr>
            <w:tcW w:w="2310" w:type="dxa"/>
            <w:vAlign w:val="center"/>
            <w:vMerge w:val="restart"/>
          </w:tcPr>
          <w:p>
            <w:pPr/>
            <w:r>
              <w:rPr>
                <w:lang w:val="zh-CN"/>
                <w:rFonts w:ascii="Times New Roman" w:hAnsi="Times New Roman" w:cs="Times New Roman"/>
                <w:sz w:val="20"/>
                <w:szCs w:val="20"/>
                <w:color w:val="000000"/>
              </w:rPr>
              <w:t>2020/01/14</w:t>
            </w:r>
          </w:p>
        </w:tc>
        <w:tc>
          <w:tcPr>
            <w:tcW w:w="2310" w:type="dxa"/>
            <w:gridSpan w:val="7"/>
          </w:tcPr>
          <w:p>
            <w:pPr/>
            <w:r>
              <w:rPr>
                <w:lang w:val="zh-CN"/>
                <w:rFonts w:ascii="Times New Roman" w:hAnsi="Times New Roman" w:cs="Times New Roman"/>
                <w:b/>
                <w:color w:val="000000"/>
              </w:rPr>
              <w:t>第五天：丽江--束河古镇--拉市海--返回昆明；(5)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五天：丽江--束河古镇--拉市海--返回昆明；第五天：丽江--束河古镇--拉市海--返回昆明；第五天：丽江--束河古镇--拉市海--返回昆明；第五天：丽江--束河古镇--拉市海--返回昆明；第五天：丽江--束河古镇--拉市海--返回昆明；第五天：丽江--束河古镇--拉市海--返回昆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早餐：5；午餐：5；晚餐：5；住宿：5</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彩云之南”是每个人对的亲密称呼。当我第一次踏足这片土地时，我感到了天地造化无处不在的奇迹，无论是孩子般变化的天气，还是千姿百态的动植物，少数名族的风情万种、数不胜数的美丽风景……这里所有的一切，都让我对云南产生了深厚的感情。在这里特别感谢一下阿布，没有他好的安排，我们就不会有这么开心的一次旅行！</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大理、丽江、玉龙雪山、游玩了五天，选的是阿布的网红套餐，哈哈，三个人间精华的地方都玩到了，随手一拍就是风景大片，美不胜收！但是呢，最大的感受就是云南的景点过于分散，自己玩容易走回头路，非常浪费时间，我个人觉得现在国内的成熟的旅游景点比如云南这样的，最好还是结伴玩，可以请一个导游，毕竟出来玩，重要的是轻松和开心嘛！</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一起放飞自我，投入大自然的怀抱吧香格里拉国家森林公园从这里感受人与自然的和谐共生从这里踏上通往神界的天路</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云南旅游注意事项！！！！！！！！云南紫外线很强。要带够防晒装备（1.充足倍数的防晒霜（最好30倍以上）2.墨镜3.帽子或者丝巾什么的）4.保湿面膜必不可少！！！云南的昼夜温差比较大，要带个厚外套哦。必要可以带个那种很薄的羽绒服或者冲锋衣。这个很有用！！！个别可能会有高原反应。要多喝水，多喝水，多喝水。有的高原反应会觉得口渴，喝了水会缓解很多。刚到丽江，不要做跑跑跳跳的剧烈运动。！！！坐飞机可以备点口香糖，咀嚼的动作会稍微缓解下耳鸣的状态！！！飞机托运或者个人携带物品会有一定注意事项，建议打包行李多注意下。拿走不谢~</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唐琴梅</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9</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2020/1/9 14:41:02</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