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微软雅黑" w:hAnsi="微软雅黑" w:cs="微软雅黑" w:eastAsia="微软雅黑"/>
          <w:b/>
          <w:color w:val="auto"/>
          <w:spacing w:val="0"/>
          <w:position w:val="0"/>
          <w:sz w:val="52"/>
          <w:shd w:fill="auto" w:val="clear"/>
        </w:rPr>
      </w:pPr>
      <w:r>
        <w:rPr>
          <w:rFonts w:ascii="微软雅黑" w:hAnsi="微软雅黑" w:cs="微软雅黑" w:eastAsia="微软雅黑"/>
          <w:b/>
          <w:color w:val="auto"/>
          <w:spacing w:val="0"/>
          <w:position w:val="0"/>
          <w:sz w:val="52"/>
          <w:shd w:fill="auto" w:val="clear"/>
        </w:rPr>
        <w:t>汇旅技术团队/散客确认书</w:t>
      </w:r>
    </w:p>
    <w:tbl>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领队控位</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SFO11OZ191130A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2019-11-30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2019-12-10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2019/12/09</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2019/12/10</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trPr>
          <w:trHeight w:val="1774" w:hRule="auto"/>
          <w:jc w:val="left"/>
        </w:trPr>
        <w:tc>
          <w:tcPr>
            <w:tcW w:w="10490"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4990"/>
              <w:gridCol w:w="4990"/>
            </w:tblGrid>
            <w:tr>
              <w:trPr>
                <w:trHeight w:val="1824" w:hRule="auto"/>
                <w:jc w:val="left"/>
              </w:trPr>
              <w:tc>
                <w:tcPr>
                  <w:tcW w:w="4990"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甲方经办人：</w:t>
                  </w:r>
                  <w:r>
                    <w:rPr>
                      <w:rFonts w:ascii="等线" w:hAnsi="等线" w:cs="等线" w:eastAsia="等线"/>
                      <w:color w:val="auto"/>
                      <w:spacing w:val="0"/>
                      <w:position w:val="0"/>
                      <w:sz w:val="21"/>
                      <w:shd w:fill="auto" w:val="clear"/>
                    </w:rPr>
                    <w:t>-</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c>
                <w:tcPr>
                  <w:tcW w:w="4990"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object w:dxaOrig="3444" w:dyaOrig="3048">
                      <v:rect xmlns:o="urn:schemas-microsoft-com:office:office" xmlns:v="urn:schemas-microsoft-com:vml" id="rectole0000000000" style="width:172.200000pt;height:15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乙方经办人：</w:t>
                  </w:r>
                  <w:r>
                    <w:rPr>
                      <w:rFonts w:ascii="等线" w:hAnsi="等线" w:cs="等线" w:eastAsia="等线"/>
                      <w:color w:val="auto"/>
                      <w:spacing w:val="0"/>
                      <w:position w:val="0"/>
                      <w:sz w:val="21"/>
                      <w:shd w:fill="auto" w:val="clear"/>
                    </w:rPr>
                    <w:t>李元</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right"/>
        <w:rPr>
          <w:rFonts w:ascii="等线" w:hAnsi="等线" w:cs="等线" w:eastAsia="等线"/>
          <w:color w:val="A6A6A6"/>
          <w:spacing w:val="0"/>
          <w:position w:val="0"/>
          <w:sz w:val="20"/>
          <w:shd w:fill="auto" w:val="clear"/>
        </w:rPr>
      </w:pPr>
      <w:r>
        <w:rPr>
          <w:rFonts w:ascii="宋体" w:hAnsi="宋体" w:cs="宋体" w:eastAsia="宋体"/>
          <w:color w:val="A6A6A6"/>
          <w:spacing w:val="0"/>
          <w:position w:val="0"/>
          <w:sz w:val="20"/>
          <w:shd w:fill="auto" w:val="clear"/>
        </w:rPr>
        <w:t xml:space="preserve">打印日期：</w:t>
      </w:r>
      <w:r>
        <w:rPr>
          <w:rFonts w:ascii="等线" w:hAnsi="等线" w:cs="等线" w:eastAsia="等线"/>
          <w:color w:val="A6A6A6"/>
          <w:spacing w:val="0"/>
          <w:position w:val="0"/>
          <w:sz w:val="20"/>
          <w:shd w:fill="auto" w:val="clear"/>
        </w:rPr>
        <w:t>2019/10/25 15:05:19</w:t>
      </w:r>
    </w:p>
    <w:p>
      <w:pPr>
        <w:spacing w:before="0" w:after="0" w:line="240"/>
        <w:ind w:right="0" w:left="0" w:firstLine="0"/>
        <w:jc w:val="both"/>
        <w:rPr>
          <w:rFonts w:ascii="等线" w:hAnsi="等线" w:cs="等线" w:eastAsia="等线"/>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oleObject" Target="embeddings/oleObject0.bin" Id="docRId0" /><Relationship Type="http://schemas.openxmlformats.org/officeDocument/2006/relationships/image" Target="media/image0.wmf" Id="docRId1" /><Relationship Type="http://schemas.openxmlformats.org/officeDocument/2006/relationships/numbering" Target="numbering.xml" Id="docRId2" /><Relationship Type="http://schemas.openxmlformats.org/officeDocument/2006/relationships/styles" Target="styles.xml" Id="docRId3" /><Relationship Type="http://schemas.openxmlformats.org/officeDocument/2006/relationships/settings" Target="/word/settings.xml" Id="Ra8f3e4d50e974b76" /></Relationships>
</file>