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ling</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13658031623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HL-GX-20200716-01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澳大利亚双飞8日游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2020-07-23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2(1大1小)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50000.00</w:t>
            </w:r>
          </w:p>
        </w:tc>
        <w:tc>
          <w:tcPr>
            <w:tcW w:w="2310" w:type="dxa"/>
          </w:tcPr>
          <w:p>
            <w:pPr/>
            <w:r>
              <w:rPr>
                <w:lang w:val="zh-CN"/>
                <w:rFonts w:ascii="Times New Roman" w:hAnsi="Times New Roman" w:cs="Times New Roman"/>
                <w:sz w:val="20"/>
                <w:szCs w:val="20"/>
                <w:color w:val="000000"/>
              </w:rPr>
              <w:t>50000.00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总金额：伍万元整</w:t>
            </w:r>
          </w:p>
        </w:tc>
        <w:tc>
          <w:tcPr>
            <w:tcW w:w="2310" w:type="dxa"/>
            <w:textDirection w:val="right"/>
            <w:gridSpan w:val="3"/>
          </w:tcPr>
          <w:p>
            <w:pPr/>
            <w:r>
              <w:rPr>
                <w:lang w:val="zh-CN"/>
                <w:rFonts w:ascii="Times New Roman" w:hAnsi="Times New Roman" w:cs="Times New Roman"/>
                <w:b/>
                <w:color w:val="FF0000"/>
              </w:rPr>
              <w:t>50000.00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gridSpan w:val="3"/>
          </w:tcPr>
          <w:p>
            <w:pPr/>
            <w:r>
              <w:rPr>
                <w:lang w:val="zh-CN"/>
                <w:rFonts w:ascii="Times New Roman" w:hAnsi="Times New Roman" w:cs="Times New Roman"/>
                <w:sz w:val="20"/>
                <w:szCs w:val="20"/>
                <w:color w:val="000000"/>
              </w:rPr>
              <w:t>成都银行航空港支行</w:t>
            </w:r>
          </w:p>
        </w:tc>
        <w:tc>
          <w:tcPr>
            <w:tcW w:w="2310" w:type="dxa"/>
            <w:gridSpan w:val="2"/>
          </w:tcPr>
          <w:p>
            <w:pPr/>
            <w:r>
              <w:rPr>
                <w:lang w:val="zh-CN"/>
                <w:rFonts w:ascii="Times New Roman" w:hAnsi="Times New Roman" w:cs="Times New Roman"/>
                <w:sz w:val="20"/>
                <w:szCs w:val="20"/>
                <w:color w:val="000000"/>
              </w:rPr>
              <w:t>甜甜</w:t>
            </w:r>
          </w:p>
        </w:tc>
        <w:tc>
          <w:tcPr>
            <w:tcW w:w="2310" w:type="dxa"/>
            <w:gridSpan w:val="3"/>
          </w:tcPr>
          <w:p>
            <w:pPr/>
            <w:r>
              <w:rPr>
                <w:lang w:val="zh-CN"/>
                <w:rFonts w:ascii="Times New Roman" w:hAnsi="Times New Roman" w:cs="Times New Roman"/>
                <w:sz w:val="20"/>
                <w:szCs w:val="20"/>
                <w:color w:val="000000"/>
              </w:rPr>
              <w:t>12345667889</w:t>
            </w:r>
          </w:p>
        </w:tc>
      </w:tr>
      <w:tr>
        <w:tc>
          <w:tcPr>
            <w:tcW w:w="2310" w:type="dxa"/>
            <w:gridSpan w:val="3"/>
          </w:tcPr>
          <w:p>
            <w:pPr/>
            <w:r>
              <w:rPr>
                <w:lang w:val="zh-CN"/>
                <w:rFonts w:ascii="Times New Roman" w:hAnsi="Times New Roman" w:cs="Times New Roman"/>
                <w:sz w:val="20"/>
                <w:szCs w:val="20"/>
                <w:color w:val="000000"/>
              </w:rPr>
              <w:t>携程</w:t>
            </w:r>
          </w:p>
        </w:tc>
        <w:tc>
          <w:tcPr>
            <w:tcW w:w="2310" w:type="dxa"/>
            <w:gridSpan w:val="2"/>
          </w:tcPr>
          <w:p>
            <w:pPr/>
            <w:r>
              <w:rPr>
                <w:lang w:val="zh-CN"/>
                <w:rFonts w:ascii="Times New Roman" w:hAnsi="Times New Roman" w:cs="Times New Roman"/>
                <w:sz w:val="20"/>
                <w:szCs w:val="20"/>
                <w:color w:val="000000"/>
              </w:rPr>
              <w:t>携程</w:t>
            </w:r>
          </w:p>
        </w:tc>
        <w:tc>
          <w:tcPr>
            <w:tcW w:w="2310" w:type="dxa"/>
            <w:gridSpan w:val="3"/>
          </w:tcPr>
          <w:p>
            <w:pPr/>
            <w:r>
              <w:rPr>
                <w:lang w:val="zh-CN"/>
                <w:rFonts w:ascii="Times New Roman" w:hAnsi="Times New Roman" w:cs="Times New Roman"/>
                <w:sz w:val="20"/>
                <w:szCs w:val="20"/>
                <w:color w:val="000000"/>
              </w:rPr>
              <w:t>123456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2020/07/16</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于今天晚上9点30分，在成都双流机场集合，准备搭乘第二天凌晨的航班，经首尔转机飞往澳大利亚。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vAlign w:val="center"/>
            <w:vMerge w:val="restart"/>
          </w:tcPr>
          <w:p>
            <w:pPr/>
            <w:r>
              <w:rPr>
                <w:lang w:val="zh-CN"/>
                <w:rFonts w:ascii="Times New Roman" w:hAnsi="Times New Roman" w:cs="Times New Roman"/>
                <w:sz w:val="20"/>
                <w:szCs w:val="20"/>
                <w:color w:val="000000"/>
              </w:rPr>
              <w:t>2020/07/17</w:t>
            </w:r>
          </w:p>
        </w:tc>
        <w:tc>
          <w:tcPr>
            <w:tcW w:w="2310" w:type="dxa"/>
            <w:gridSpan w:val="7"/>
          </w:tcPr>
          <w:p>
            <w:pPr/>
            <w:r>
              <w:rPr>
                <w:lang w:val="zh-CN"/>
                <w:rFonts w:ascii="Times New Roman" w:hAnsi="Times New Roman" w:cs="Times New Roman"/>
                <w:b/>
                <w:color w:val="000000"/>
              </w:rPr>
              <w:t>成都AIR首尔AIR澳大利亚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参考航班：CA32400200440CA22211001100乘机飞往澳大利亚。抵达后享用午餐，后送入酒店休息，下午自由活动。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早餐：无；午餐：飞机餐；晚餐：无；住宿：澳大利亚</w:t>
            </w:r>
          </w:p>
        </w:tc>
      </w:tr>
      <w:tr>
        <w:tc>
          <w:tcPr>
            <w:tcW w:w="2310" w:type="dxa"/>
            <w:vAlign w:val="center"/>
            <w:vMerge w:val="restart"/>
          </w:tcPr>
          <w:p>
            <w:pPr/>
            <w:r>
              <w:rPr>
                <w:lang w:val="zh-CN"/>
                <w:rFonts w:ascii="Times New Roman" w:hAnsi="Times New Roman" w:cs="Times New Roman"/>
                <w:sz w:val="20"/>
                <w:szCs w:val="20"/>
                <w:color w:val="000000"/>
              </w:rPr>
              <w:t>2020/07/18</w:t>
            </w:r>
          </w:p>
        </w:tc>
        <w:tc>
          <w:tcPr>
            <w:tcW w:w="2310" w:type="dxa"/>
            <w:gridSpan w:val="7"/>
          </w:tcPr>
          <w:p>
            <w:pPr/>
            <w:r>
              <w:rPr>
                <w:lang w:val="zh-CN"/>
                <w:rFonts w:ascii="Times New Roman" w:hAnsi="Times New Roman" w:cs="Times New Roman"/>
                <w:b/>
                <w:color w:val="000000"/>
              </w:rPr>
              <w:t>堪培拉(Canberra)一日游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7:30am酒店集合，驱车南下澳洲首都堪培拉，抵达后参观小人国花园，随后参观格里芬湖和皇家铸币厂。约下午3:30pm回程，回到悉尼市区约7:00pm，之后回到酒店休息。车南下澳洲首都堪培拉，抵达后参观小人国花园。小人国地处市中心以北11公里处，展示了澳洲和世界上著名的标志性建筑的模型景观，还有浓厚澳洲特色的小山村、板球之家、英国民俗村和民宅花园等。于中餐厅享用午餐后，前往参观人工湖、喷泉、首都展览馆。包括堪培拉市的灵魂格里芬湖,途经联邦大桥，前往皇家铸币厂参观，团友更可亲手铸造全新的一元硬币。游览大使馆区、参观堪培拉国会大厦。途径皇帝大桥，前往战争纪念馆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2020/07/19</w:t>
            </w:r>
          </w:p>
        </w:tc>
        <w:tc>
          <w:tcPr>
            <w:tcW w:w="2310" w:type="dxa"/>
            <w:gridSpan w:val="7"/>
          </w:tcPr>
          <w:p>
            <w:pPr/>
            <w:r>
              <w:rPr>
                <w:lang w:val="zh-CN"/>
                <w:rFonts w:ascii="Times New Roman" w:hAnsi="Times New Roman" w:cs="Times New Roman"/>
                <w:b/>
                <w:color w:val="000000"/>
              </w:rPr>
              <w:t>蓝山(Blue Mountain)一日游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6:30am酒店集合，前往费得戴尔野生动物公园游玩，随后继续驱车沿三十二号公路直上海拔一千一百米高的蓝山三姐妹峰，前往库姆瑞土著文化中心，观看土著人舞蹈表演。于6:00pm左右抵达酒店。蓝山森林观光火车将于2019.6.11-21期间例行维修，不对外开放，请知悉。费得戴尔野生动物公园位于悉尼西部，是澳洲最大的拥有本土动物和鸟类的私人动物园之一，这里拥有超过1,700种本土动物，您可以近距离观看考拉与亲手喂养袋鼠。您还将遇到湾鳄Ngukurr，这种鳄鱼是世界上现存最大的爬行动物。动物园每天上午9:00到下午5:00开放，设有鹤鸵和袋鼬饲养区，您可以近距离观察这些美丽的濒危动物，尽情观赏在自然森林环境中澳洲独特的野生动物。库姆瑞土著文化中心-体验原汁原味的风土人情来到这里，你能了解澳大利亚土著文化，接触陈列在土著文化中心里传统工具的用途，欣赏民族舞蹈表演和迪吉里杜管演奏。歌舞会包括脸涂油漆的原住民身穿传统衣饰表演舞蹈，展示澳大利亚土著神话和原始生活方式。这绝对会是一次感受原汁原味异域文化不容错失的机会。流传千年的凄美部落故事-三姐妹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2020/07/20</w:t>
            </w:r>
          </w:p>
        </w:tc>
        <w:tc>
          <w:tcPr>
            <w:tcW w:w="2310" w:type="dxa"/>
            <w:gridSpan w:val="7"/>
          </w:tcPr>
          <w:p>
            <w:pPr/>
            <w:r>
              <w:rPr>
                <w:lang w:val="zh-CN"/>
                <w:rFonts w:ascii="Times New Roman" w:hAnsi="Times New Roman" w:cs="Times New Roman"/>
                <w:b/>
                <w:color w:val="000000"/>
              </w:rPr>
              <w:t>悉尼(Sydney) - 墨尔本市区(Melbourne) - 菲利普岛(Phillip Island)</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导游送往悉尼国内机场，自行登机乘坐指定航班前往墨尔本。导游接机后，参观墨尔本市区名胜：参观拥有160多年历史的旧国会大厦，前往壮观的圣帕特里克大教堂；都市绿洲Fitzroy公园小憩片刻并且参观库克船长的小屋；乘坐游船游览雅拉河两岸风光，唐人街自由活动后，登上墨尔本最高观景点—尤里卡88层观景台俯瞰墨尔本全貌。随后前往澳州最大的皇冠赌场一试运气。下午前往菲利普岛，观赏世界上最小的神仙企鹅，夏季可选择参观巧克力工厂，亲身体验制造巧克力的乐趣，约22:00pm回酒店休息。2019.4.1开始包含企鹅岛Marupark动物园以及企鹅岛普通看台门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2020/07/21</w:t>
            </w:r>
          </w:p>
        </w:tc>
        <w:tc>
          <w:tcPr>
            <w:tcW w:w="2310" w:type="dxa"/>
            <w:gridSpan w:val="7"/>
          </w:tcPr>
          <w:p>
            <w:pPr/>
            <w:r>
              <w:rPr>
                <w:lang w:val="zh-CN"/>
                <w:rFonts w:ascii="Times New Roman" w:hAnsi="Times New Roman" w:cs="Times New Roman"/>
                <w:b/>
                <w:color w:val="000000"/>
              </w:rPr>
              <w:t>大洋路一日游(The Great Ocean Road)</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出发前往大洋路，一路沿着海岸线行驶，在阿波罗湾小镇享用午餐，下午抵达最著名的十二门徒石，欣赏伦敦桥，洛克阿德峡谷等绝美风景，19:30-20:00左右返回到墨尔本市区，送往酒店休息。墨尔本的大洋路与美国的1号公路并称为“一生中必去的公路”。一路将尽情领略最美公路的无穷魅力，路上有惊涛拍岸的断崖、千姿百态的海上奇岩、群鸟翱翔的雨林、曲线优美的海岸线……时而与大海相伴，时而穿行在原始森林，仿佛置身人间仙境。沿途公路犹如浮在海上的飘带盘旋而上，车子也随着公路而高低起伏、蜿蜒盘旋，尤其在洛恩小镇与阿波罗湾之间地形险峻、蜿蜒曲折的路面上驰骋，时而急弯曲行，时而开阔直行，充满惊险和刺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2020/07/22</w:t>
            </w:r>
          </w:p>
        </w:tc>
        <w:tc>
          <w:tcPr>
            <w:tcW w:w="2310" w:type="dxa"/>
            <w:gridSpan w:val="7"/>
          </w:tcPr>
          <w:p>
            <w:pPr/>
            <w:r>
              <w:rPr>
                <w:lang w:val="zh-CN"/>
                <w:rFonts w:ascii="Times New Roman" w:hAnsi="Times New Roman" w:cs="Times New Roman"/>
                <w:b/>
                <w:color w:val="000000"/>
              </w:rPr>
              <w:t>库兰达小镇(Kuranda Town)</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8:30am左右在酒店集合，乘车前往库兰达热带雨林，乘坐雨林缆车或火车，享用丰盛的澳式烧烤自助午餐。下午观看土著人舞蹈表演，乘坐水路两栖战车，深入雨林深处，听导游介绍各种雨林动植物。著名作家T.S.Eliot曾说，旅行的意义不仅仅是为了到达终点，更重要的是在于沿途的风景，这句话对于库兰达是非常准确的形容。如果来凯恩斯旅游，这个位于热带雨林的村落是绝对值得推荐的一站。来到这个位于凯恩斯西北25公里处的库兰达小镇有两种最特别的方式，您既可以乘坐童话一般的热带雨林火车，也可以选择热带雨林缆车前往：库兰达观光火车建于1891年，全程包括15个隧道，93个弯道以及无数个桥梁。沿途将观赏到壮观的雨林美景，历经两个小时的车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2020/07/23</w:t>
            </w:r>
          </w:p>
        </w:tc>
        <w:tc>
          <w:tcPr>
            <w:tcW w:w="2310" w:type="dxa"/>
            <w:gridSpan w:val="7"/>
          </w:tcPr>
          <w:p>
            <w:pPr/>
            <w:r>
              <w:rPr>
                <w:lang w:val="zh-CN"/>
                <w:rFonts w:ascii="Times New Roman" w:hAnsi="Times New Roman" w:cs="Times New Roman"/>
                <w:b/>
                <w:color w:val="000000"/>
              </w:rPr>
              <w:t>凯恩斯自由活动(Free Time) - 凯恩斯机场送机(Cairns Airport Drop-off) - 悉尼(Sydney) 飞行约2H55Min</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凯恩自由活动可以让您放慢下脚步，充分的感受澳洲的生活气息。可以去凯恩斯中心逛街购物，DFS环球免税店可是购物狂人不能错过的。不想购物的话，也可以坐下来惬意的喝杯咖啡。在市中心可以淘一些具有当地特色的手工艺品，或者购买些澳洲特产例如猫眼石、钻石及珍珠，美食也是必尝的。市中心有各种佳肴，海鲜是一定不能错过的。如果感兴趣，可以尝试下澳洲特色野味例如鳄鱼肉、袋鼠肉或者鹿肉。结束一天的行程后，乘坐飞机返回悉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酒店：9晚当地星级酒店住宿（不另加床）及早餐。导游司机：行程中的中英文专职双语导游和司机服务。交通：豪华空调巴士(包括巴士行车责任保险)。接送机：机场接送服务。机票：澳洲内陆机票3程。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入团须知订购成功后，您立刻会通过E-Mail收到［预订单］。我们会在两个工作日内将最终确认的［电子旅行凭证］发到您的邮箱。我们建议您在收到［电子旅行凭证］后再预定机票。行程先后顺序有可能根据您所选择的出发时间、天气等情况有所调整，行程内容不会更改。每房只提供一次免费接送机，如若加订行程前后酒店，不提供免费接送机服务。如有需要，建议提前与路路行客服联系，为您安排付费接送机服务。加订酒店价格会由于节假日影响而上浮，并且酒店一但加订确认，将无法取消，建议加订之前与路路行客服联系。酒店价格因为淡旺季原因，价格会有浮动，请以最终确认价格为准。境内机票为实时价格，价格有可能浮动。澳洲境内航班仅限5-7kg的手提行李。如需托运行李需要额外收取费用。请提前至少72小时前通知客服，机场购买行李价格将会双倍计算。行程最后将返回悉尼，若有变动，请咨询客服确定行程及机票价格。旺季、节假日价钱或有浮动，请以Lulutrip客服的最终报价为准，建议提早60天订购。请提早10分钟到达指定上车点等候上车，迟到或者缺席等于自行取消行程，我司不退还任何费用。儿童价格适用于2-12岁，需有2位成人陪同，儿童不占床。如一个大人带儿童，儿童需全价。2岁以下儿童内陆段机票免费，其他价格同2-12岁儿童。2岁以下婴儿每人每天加收25澳币。为了其他旅客的安全和权益，于旅游车上，绝对禁止任何食物或饮料（瓶装水除外），任何热食禁止携带上车，如有不便之处，敬请原谅。费用只包含早餐，行程中午晚餐需自费。为了不影响行程安排，请提前15分钟到达上车地点等候上车，迟到或者缺席等于自行取消行程，不退还任何费用。澳洲境内航班仅限7-10kg的手提行李。如需托运行李需要额外收取费用。请提前至少72小时前通知客服，机场购买行李价格将会双倍计算。点若客人要求参加导游安排以外的行程，有可能需要自行安排交通。请向导游咨询。客人自行购买的门票不包含酒店接送服务。夏季动植物园湿热，蚊虫较多，请做好防蚊虫叮咬措施。澳洲紫外线强，户外活动做好防晒准备。请自备相关药物，以免出现水土不服，常用药物如：胃肠药、感冒药、晕车药、私人习惯性药物等。澳洲酒店没有挂星制度，行程中所列的星级标准为澳洲当地行业参考标准。此产品包含境内机票，订单一经确认，酒店、机票不可退改。所有自选项目以及景点门票必须由本公司导游统一购买，如游客自行购买，本公司概不负责运输责任。地接公司将会为您安排熟悉本地风土人情的中文司导，行程中每个城市的司导可能有所调整，请知悉。如因意外事件及不可抗力因素，包括但不限于，航空公司运力调配、航权审核、机场临时关闭、天气原因、航空管制等，导致航班取消或延期的，恕我司不因此承担任何责任。我们将尽最大努力协助您办理行程变更事宜，如产生差价，多退少补。强烈建议您出行前购买旅行保险，以防损失。</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7</w:t>
                  </w:r>
                  <w:r w:rsidR="00192D3B">
                    <w:rPr>
                      <w:rFonts w:asciiTheme="minorEastAsia" w:hAnsiTheme="minorEastAsia" w:hint="eastAsia"/>
                    </w:rPr>
                    <w:t xml:space="preserve">月 </w:t>
                  </w:r>
                  <w:r>
                    <w:rPr>
                      <w:rFonts w:asciiTheme="minorEastAsia" w:hAnsiTheme="minorEastAsia" w:hint="eastAsia"/>
                    </w:rPr>
                    <w:t>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2020/7/2 18:29:59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