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道里中旅西十三婷婷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婷婷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15331800230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FCQ06FJ250925A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重庆南航重庆双飞6日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2025-09-25 CZ2334 哈尔滨→重庆 18:35-01:00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2025-09-30 CZ2333 重庆→哈尔滨 11:40-17:3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婷婷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2025/9/18 12:01:51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