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仁在旅途团队/散客确认书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重庆手拉手国际旅行社有限公司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梅梅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13637750705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秦添</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SPT06G5201029A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华夏扬州往返特价华东6天799</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2020-10-29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2020-11-03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2020-10-29 G52375 重庆→扬州 07:10-09:15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2020-11-03 G52376 扬州→重庆 15:35-18:0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1200.00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总金额：壹仟贰佰元整</w:t>
            </w:r>
          </w:p>
        </w:tc>
        <w:tc>
          <w:tcPr>
            <w:tcW w:w="2310" w:type="dxa"/>
            <w:textDirection w:val="right"/>
            <w:gridSpan w:val="3"/>
          </w:tcPr>
          <w:p>
            <w:pPr/>
            <w:r>
              <w:rPr>
                <w:lang w:val="zh-CN"/>
                <w:rFonts w:ascii="Times New Roman" w:hAnsi="Times New Roman" w:cs="Times New Roman"/>
                <w:b/>
                <w:color w:val="FF0000"/>
              </w:rPr>
              <w:t>1200.00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建行（2020.3停用）</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6217003760113785943</w:t>
            </w:r>
          </w:p>
        </w:tc>
      </w:tr>
      <w:tr>
        <w:tc>
          <w:tcPr>
            <w:tcW w:w="2310" w:type="dxa"/>
            <w:gridSpan w:val="3"/>
          </w:tcPr>
          <w:p>
            <w:pPr/>
            <w:r>
              <w:rPr>
                <w:lang w:val="zh-CN"/>
                <w:rFonts w:ascii="Times New Roman" w:hAnsi="Times New Roman" w:cs="Times New Roman"/>
                <w:sz w:val="20"/>
                <w:szCs w:val="20"/>
                <w:color w:val="000000"/>
              </w:rPr>
              <w:t>中国工商银行建新北路支行</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6222023100073786191</w:t>
            </w:r>
          </w:p>
        </w:tc>
      </w:tr>
      <w:tr>
        <w:tc>
          <w:tcPr>
            <w:tcW w:w="2310" w:type="dxa"/>
            <w:gridSpan w:val="3"/>
          </w:tcPr>
          <w:p>
            <w:pPr/>
            <w:r>
              <w:rPr>
                <w:lang w:val="zh-CN"/>
                <w:rFonts w:ascii="Times New Roman" w:hAnsi="Times New Roman" w:cs="Times New Roman"/>
                <w:sz w:val="20"/>
                <w:szCs w:val="20"/>
                <w:color w:val="000000"/>
              </w:rPr>
              <w:t>农行</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6228480478723673875</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（李乐）</w:t>
            </w:r>
          </w:p>
        </w:tc>
        <w:tc>
          <w:tcPr>
            <w:tcW w:w="2310" w:type="dxa"/>
            <w:gridSpan w:val="3"/>
          </w:tcPr>
          <w:p>
            <w:pPr/>
            <w:r>
              <w:rPr>
                <w:lang w:val="zh-CN"/>
                <w:rFonts w:ascii="Times New Roman" w:hAnsi="Times New Roman" w:cs="Times New Roman"/>
                <w:sz w:val="20"/>
                <w:szCs w:val="20"/>
                <w:color w:val="000000"/>
              </w:rPr>
              <w:t>6214850231391555</w:t>
            </w:r>
          </w:p>
        </w:tc>
      </w:tr>
      <w:tr>
        <w:tc>
          <w:tcPr>
            <w:tcW w:w="2310" w:type="dxa"/>
            <w:gridSpan w:val="3"/>
          </w:tcPr>
          <w:p>
            <w:pPr/>
            <w:r>
              <w:rPr>
                <w:lang w:val="zh-CN"/>
                <w:rFonts w:ascii="Times New Roman" w:hAnsi="Times New Roman" w:cs="Times New Roman"/>
                <w:sz w:val="20"/>
                <w:szCs w:val="20"/>
                <w:color w:val="000000"/>
              </w:rPr>
              <w:t>光大银行重庆沙坪坝支行小龙坎分理处</w:t>
            </w:r>
          </w:p>
        </w:tc>
        <w:tc>
          <w:tcPr>
            <w:tcW w:w="2310" w:type="dxa"/>
            <w:gridSpan w:val="2"/>
          </w:tcPr>
          <w:p>
            <w:pPr/>
            <w:r>
              <w:rPr>
                <w:lang w:val="zh-CN"/>
                <w:rFonts w:ascii="Times New Roman" w:hAnsi="Times New Roman" w:cs="Times New Roman"/>
                <w:sz w:val="20"/>
                <w:szCs w:val="20"/>
                <w:color w:val="000000"/>
              </w:rPr>
              <w:t>李乐</w:t>
            </w:r>
          </w:p>
        </w:tc>
        <w:tc>
          <w:tcPr>
            <w:tcW w:w="2310" w:type="dxa"/>
            <w:gridSpan w:val="3"/>
          </w:tcPr>
          <w:p>
            <w:pPr/>
            <w:r>
              <w:rPr>
                <w:lang w:val="zh-CN"/>
                <w:rFonts w:ascii="Times New Roman" w:hAnsi="Times New Roman" w:cs="Times New Roman"/>
                <w:sz w:val="20"/>
                <w:szCs w:val="20"/>
                <w:color w:val="000000"/>
              </w:rPr>
              <w:t>6226630900395863</w:t>
            </w:r>
          </w:p>
        </w:tc>
      </w:tr>
      <w:tr>
        <w:tc>
          <w:tcPr>
            <w:tcW w:w="2310" w:type="dxa"/>
            <w:gridSpan w:val="3"/>
          </w:tcPr>
          <w:p>
            <w:pPr/>
            <w:r>
              <w:rPr>
                <w:lang w:val="zh-CN"/>
                <w:rFonts w:ascii="Times New Roman" w:hAnsi="Times New Roman" w:cs="Times New Roman"/>
                <w:sz w:val="20"/>
                <w:szCs w:val="20"/>
                <w:color w:val="000000"/>
              </w:rPr>
              <w:t>兴业银行</w:t>
            </w:r>
          </w:p>
        </w:tc>
        <w:tc>
          <w:tcPr>
            <w:tcW w:w="2310" w:type="dxa"/>
            <w:gridSpan w:val="2"/>
          </w:tcPr>
          <w:p>
            <w:pPr/>
            <w:r>
              <w:rPr>
                <w:lang w:val="zh-CN"/>
                <w:rFonts w:ascii="Times New Roman" w:hAnsi="Times New Roman" w:cs="Times New Roman"/>
                <w:sz w:val="20"/>
                <w:szCs w:val="20"/>
                <w:color w:val="000000"/>
              </w:rPr>
              <w:t>（乐美基本户）</w:t>
            </w:r>
          </w:p>
        </w:tc>
        <w:tc>
          <w:tcPr>
            <w:tcW w:w="2310" w:type="dxa"/>
            <w:gridSpan w:val="3"/>
          </w:tcPr>
          <w:p>
            <w:pPr/>
            <w:r>
              <w:rPr>
                <w:lang w:val="zh-CN"/>
                <w:rFonts w:ascii="Times New Roman" w:hAnsi="Times New Roman" w:cs="Times New Roman"/>
                <w:sz w:val="20"/>
                <w:szCs w:val="20"/>
                <w:color w:val="000000"/>
              </w:rPr>
              <w:t>346 110 100 100 176 782</w:t>
            </w:r>
          </w:p>
        </w:tc>
      </w:tr>
      <w:tr>
        <w:tc>
          <w:tcPr>
            <w:tcW w:w="2310" w:type="dxa"/>
            <w:gridSpan w:val="3"/>
          </w:tcPr>
          <w:p>
            <w:pPr/>
            <w:r>
              <w:rPr>
                <w:lang w:val="zh-CN"/>
                <w:rFonts w:ascii="Times New Roman" w:hAnsi="Times New Roman" w:cs="Times New Roman"/>
                <w:sz w:val="20"/>
                <w:szCs w:val="20"/>
                <w:color w:val="000000"/>
              </w:rPr>
              <w:t>光大银行重庆渝中支行</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39440188000108167</w:t>
            </w:r>
          </w:p>
        </w:tc>
      </w:tr>
      <w:tr>
        <w:tc>
          <w:tcPr>
            <w:tcW w:w="2310" w:type="dxa"/>
            <w:gridSpan w:val="3"/>
          </w:tcPr>
          <w:p>
            <w:pPr/>
            <w:r>
              <w:rPr>
                <w:lang w:val="zh-CN"/>
                <w:rFonts w:ascii="Times New Roman" w:hAnsi="Times New Roman" w:cs="Times New Roman"/>
                <w:sz w:val="20"/>
                <w:szCs w:val="20"/>
                <w:color w:val="000000"/>
              </w:rPr>
              <w:t>中国建设银行重庆观音桥支行</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50050106360000000402</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（乐美一般户）签证专用</w:t>
            </w:r>
          </w:p>
        </w:tc>
        <w:tc>
          <w:tcPr>
            <w:tcW w:w="2310" w:type="dxa"/>
            <w:gridSpan w:val="3"/>
          </w:tcPr>
          <w:p>
            <w:pPr/>
            <w:r>
              <w:rPr>
                <w:lang w:val="zh-CN"/>
                <w:rFonts w:ascii="Times New Roman" w:hAnsi="Times New Roman" w:cs="Times New Roman"/>
                <w:sz w:val="20"/>
                <w:szCs w:val="20"/>
                <w:color w:val="000000"/>
              </w:rPr>
              <w:t>114464673748</w:t>
            </w:r>
          </w:p>
        </w:tc>
      </w:tr>
      <w:tr>
        <w:tc>
          <w:tcPr>
            <w:tcW w:w="2310" w:type="dxa"/>
            <w:gridSpan w:val="3"/>
          </w:tcPr>
          <w:p>
            <w:pPr/>
            <w:r>
              <w:rPr>
                <w:lang w:val="zh-CN"/>
                <w:rFonts w:ascii="Times New Roman" w:hAnsi="Times New Roman" w:cs="Times New Roman"/>
                <w:sz w:val="20"/>
                <w:szCs w:val="20"/>
                <w:color w:val="000000"/>
              </w:rPr>
              <w:t>现金账户</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华夏银行杭州分行西溪支行</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1001 8051 705054</w:t>
            </w:r>
          </w:p>
        </w:tc>
      </w:tr>
      <w:tr>
        <w:tc>
          <w:tcPr>
            <w:tcW w:w="2310" w:type="dxa"/>
            <w:gridSpan w:val="3"/>
          </w:tcPr>
          <w:p>
            <w:pPr/>
            <w:r>
              <w:rPr>
                <w:lang w:val="zh-CN"/>
                <w:rFonts w:ascii="Times New Roman" w:hAnsi="Times New Roman" w:cs="Times New Roman"/>
                <w:sz w:val="20"/>
                <w:szCs w:val="20"/>
                <w:color w:val="000000"/>
              </w:rPr>
              <w:t>中国工商银行九龙坡支行（青花瓷）</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6222033100011795203</w:t>
            </w:r>
          </w:p>
        </w:tc>
      </w:tr>
      <w:tr>
        <w:tc>
          <w:tcPr>
            <w:tcW w:w="2310" w:type="dxa"/>
            <w:gridSpan w:val="3"/>
          </w:tcPr>
          <w:p>
            <w:pPr/>
            <w:r>
              <w:rPr>
                <w:lang w:val="zh-CN"/>
                <w:rFonts w:ascii="Times New Roman" w:hAnsi="Times New Roman" w:cs="Times New Roman"/>
                <w:sz w:val="20"/>
                <w:szCs w:val="20"/>
                <w:color w:val="000000"/>
              </w:rPr>
              <w:t>独立社</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过账往来</w:t>
            </w:r>
          </w:p>
        </w:tc>
        <w:tc>
          <w:tcPr>
            <w:tcW w:w="2310" w:type="dxa"/>
            <w:gridSpan w:val="2"/>
          </w:tcPr>
          <w:p>
            <w:pPr/>
            <w:r>
              <w:rPr>
                <w:lang w:val="zh-CN"/>
                <w:rFonts w:ascii="Times New Roman" w:hAnsi="Times New Roman" w:cs="Times New Roman"/>
                <w:sz w:val="20"/>
                <w:szCs w:val="20"/>
                <w:color w:val="000000"/>
              </w:rPr>
              <w:t>123456</w:t>
            </w:r>
          </w:p>
        </w:tc>
        <w:tc>
          <w:tcPr>
            <w:tcW w:w="2310" w:type="dxa"/>
            <w:gridSpan w:val="3"/>
          </w:tcPr>
          <w:p>
            <w:pPr/>
            <w:r>
              <w:rPr>
                <w:lang w:val="zh-CN"/>
                <w:rFonts w:ascii="Times New Roman" w:hAnsi="Times New Roman" w:cs="Times New Roman"/>
                <w:sz w:val="20"/>
                <w:szCs w:val="20"/>
                <w:color w:val="000000"/>
              </w:rPr>
              <w:t>123456</w:t>
            </w:r>
          </w:p>
        </w:tc>
      </w:tr>
      <w:tr>
        <w:tc>
          <w:tcPr>
            <w:tcW w:w="2310" w:type="dxa"/>
            <w:gridSpan w:val="3"/>
          </w:tcPr>
          <w:p>
            <w:pPr/>
            <w:r>
              <w:rPr>
                <w:lang w:val="zh-CN"/>
                <w:rFonts w:ascii="Times New Roman" w:hAnsi="Times New Roman" w:cs="Times New Roman"/>
                <w:sz w:val="20"/>
                <w:szCs w:val="20"/>
                <w:color w:val="000000"/>
              </w:rPr>
              <w:t>中国建设银行观音桥支行</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50050106360000000403（贷款户）</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2020/10/29</w:t>
            </w:r>
          </w:p>
        </w:tc>
        <w:tc>
          <w:tcPr>
            <w:tcW w:w="2310" w:type="dxa"/>
            <w:gridSpan w:val="7"/>
          </w:tcPr>
          <w:p>
            <w:pPr/>
            <w:r>
              <w:rPr>
                <w:lang w:val="zh-CN"/>
                <w:rFonts w:ascii="Times New Roman" w:hAnsi="Times New Roman" w:cs="Times New Roman"/>
                <w:b/>
                <w:color w:val="000000"/>
              </w:rPr>
              <w:t>重庆-扬州(飞机)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国内出发大厅集合，乘座飞机飞往扬州（飞行时间全程约120分钟）（飞机上无导游，由我社送团工作人员在机场协助游客办理登机相关手续），抵达扬州机场后，导游接机。入住酒店休息。参考时间： 18:15起飞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早餐：不含；午餐：不含；晚餐：不含；住宿：扬州</w:t>
            </w:r>
          </w:p>
        </w:tc>
      </w:tr>
      <w:tr>
        <w:tc>
          <w:tcPr>
            <w:tcW w:w="2310" w:type="dxa"/>
            <w:vAlign w:val="center"/>
            <w:vMerge w:val="restart"/>
          </w:tcPr>
          <w:p>
            <w:pPr/>
            <w:r>
              <w:rPr>
                <w:lang w:val="zh-CN"/>
                <w:rFonts w:ascii="Times New Roman" w:hAnsi="Times New Roman" w:cs="Times New Roman"/>
                <w:sz w:val="20"/>
                <w:szCs w:val="20"/>
                <w:color w:val="000000"/>
              </w:rPr>
              <w:t>2020/10/30</w:t>
            </w:r>
          </w:p>
        </w:tc>
        <w:tc>
          <w:tcPr>
            <w:tcW w:w="2310" w:type="dxa"/>
            <w:gridSpan w:val="7"/>
          </w:tcPr>
          <w:p>
            <w:pPr/>
            <w:r>
              <w:rPr>
                <w:lang w:val="zh-CN"/>
                <w:rFonts w:ascii="Times New Roman" w:hAnsi="Times New Roman" w:cs="Times New Roman"/>
                <w:b/>
                <w:color w:val="000000"/>
              </w:rPr>
              <w:t>扬州无锡苏州(巴士)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车赴南京（车程1.5小时）◆游览【牛首山风景区】（游览时间不少于1.5小时）又名天阙山，因山顶东西双峰形似牛头双角而得名。牛首山风光秀美，素有“春牛首”之美誉，古有牛首烟岚、献花清兴、祖堂振锡等金陵美景，还遗存了很多历史古迹，如岳飞抗金故垒、摩崖石刻、弘觉寺塔、郑和文化园等。江苏新十大景区”之首，旖旎秀丽的自然风光，宏伟壮观的佛教建筑（佛顶宫、佛顶塔、佛顶寺等），精美绝伦的佛文化艺术，举世无双的佛顶骨舍利，让你目不暇接，叹为观止！【佛顶宫】安放和供奉佛顶舍利的地方、在这里游客可以“借花献佛”——佛说法时，诸天散花。◆游览南京六朝文化和民俗市肆文化于一身的【夫子庙老街】（不含夫子庙大成殿门票）各种百年老店、各种秦淮小吃，德云社等（游览时间不低1小时）车赴无锡（车程约2小时）。◆游览【太湖鼋头渚】乘游船，长春花漪——水上看鼋头、鼋渚春涛——包孕吴越、摩崖石刻——万浪桥——苍鹰渚（揽太湖七十二峰）——登太湖仙岛，畅游太湖。入住酒店。温馨提示：1：周一中山陵陵门内的景区闭馆，只游览博爱广场、孝经鼎及神道部分，敬请谅解。2：可根据个人情况自愿选择乘坐景区内小交通，不属于推荐自费项目。如需乘坐，费用自理（20元/人）3：牛首山风景区占地面积2万多亩，景区较大，为了更好佛顶宫为了佛骨舍利珍藏处，有交通观光车提供，建议游客可根据选择自愿乘坐，自理25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早餐：含；午餐：含；晚餐：不含；住宿：无锡</w:t>
            </w:r>
          </w:p>
        </w:tc>
      </w:tr>
      <w:tr>
        <w:tc>
          <w:tcPr>
            <w:tcW w:w="2310" w:type="dxa"/>
            <w:vAlign w:val="center"/>
            <w:vMerge w:val="restart"/>
          </w:tcPr>
          <w:p>
            <w:pPr/>
            <w:r>
              <w:rPr>
                <w:lang w:val="zh-CN"/>
                <w:rFonts w:ascii="Times New Roman" w:hAnsi="Times New Roman" w:cs="Times New Roman"/>
                <w:sz w:val="20"/>
                <w:szCs w:val="20"/>
                <w:color w:val="000000"/>
              </w:rPr>
              <w:t>2020/10/31</w:t>
            </w:r>
          </w:p>
        </w:tc>
        <w:tc>
          <w:tcPr>
            <w:tcW w:w="2310" w:type="dxa"/>
            <w:gridSpan w:val="7"/>
          </w:tcPr>
          <w:p>
            <w:pPr/>
            <w:r>
              <w:rPr>
                <w:lang w:val="zh-CN"/>
                <w:rFonts w:ascii="Times New Roman" w:hAnsi="Times New Roman" w:cs="Times New Roman"/>
                <w:b/>
                <w:color w:val="000000"/>
              </w:rPr>
              <w:t>无锡-苏州(巴士)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车赴苏州（车程约1小时）上午：游览乾隆六下江南的园林古镇--水乡【木渎】（游览时间约1.5小时）（国家AAAA级景区），含虹饮山房（江南皇家园林、古戏台、圣旨馆、科举馆等）、严家花园（江南私家园林的杰出代表）下午：游览中国四大名园之一【留园】（游览时间约1小时），以独创一格、收放自然的精湛建筑艺术而享有盛名.观赏留园三绝：冠云峰、楠木殿、鱼化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早餐：含；午餐：含；晚餐：不含；住宿：苏州</w:t>
            </w:r>
          </w:p>
        </w:tc>
      </w:tr>
      <w:tr>
        <w:tc>
          <w:tcPr>
            <w:tcW w:w="2310" w:type="dxa"/>
            <w:vAlign w:val="center"/>
            <w:vMerge w:val="restart"/>
          </w:tcPr>
          <w:p>
            <w:pPr/>
            <w:r>
              <w:rPr>
                <w:lang w:val="zh-CN"/>
                <w:rFonts w:ascii="Times New Roman" w:hAnsi="Times New Roman" w:cs="Times New Roman"/>
                <w:sz w:val="20"/>
                <w:szCs w:val="20"/>
                <w:color w:val="000000"/>
              </w:rPr>
              <w:t>2020/11/01</w:t>
            </w:r>
          </w:p>
        </w:tc>
        <w:tc>
          <w:tcPr>
            <w:tcW w:w="2310" w:type="dxa"/>
            <w:gridSpan w:val="7"/>
          </w:tcPr>
          <w:p>
            <w:pPr/>
            <w:r>
              <w:rPr>
                <w:lang w:val="zh-CN"/>
                <w:rFonts w:ascii="Times New Roman" w:hAnsi="Times New Roman" w:cs="Times New Roman"/>
                <w:b/>
                <w:color w:val="000000"/>
              </w:rPr>
              <w:t>苏州-杭州(巴士)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车赴杭州（车程约2小时）下午：游览‘’西湖三面环山，溪谷缕注，下有渊泉百道，潴而为湖“——-【西湖】（漫步游览西湖，时间约1.5小时）”秀丽雅致的西湖，被赞叹“欲把西湖比西子，浓妆淡抹总相宜”，将西湖比喻成西施，不管春夏秋冬，朝夕晴雨都别有一番风味。自然美景与人文文化的集合，给西湖带来一抹诗情画意。晚上：特别安排龙坞茶田采茶体验或茶田拍照打卡，品尝【杭州风味餐-御茶宴】随餐赠送品尝西湖龙井一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2020/11/02</w:t>
            </w:r>
          </w:p>
        </w:tc>
        <w:tc>
          <w:tcPr>
            <w:tcW w:w="2310" w:type="dxa"/>
            <w:gridSpan w:val="7"/>
          </w:tcPr>
          <w:p>
            <w:pPr/>
            <w:r>
              <w:rPr>
                <w:lang w:val="zh-CN"/>
                <w:rFonts w:ascii="Times New Roman" w:hAnsi="Times New Roman" w:cs="Times New Roman"/>
                <w:b/>
                <w:color w:val="000000"/>
              </w:rPr>
              <w:t>杭州-乌镇-上海(巴士)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上午：游览中国最后的枕水人家——【乌镇东栅】（游览时间约1.5小时），感受原汁原味的水乡风貌和深厚的文化底蕴，水乡风貌完整，生活气息浓郁，手工作坊和传统商铺各具特色，特色展馆琳琅满目。下午：游览【外滩风光带】（游览时间约40分钟）--百年上海滩的象征，博览万国建筑群、黄埔江风光。【小吃汇●城隍庙商城】庙会中最大的特色要数城隍庙小吃了，城隍庙小吃是由明朝永历年间，这里的小吃讲究精巧细致，量不多，价不贵，正应了上海人“少吃一点，多吃几样”的风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2020/11/03</w:t>
            </w:r>
          </w:p>
        </w:tc>
        <w:tc>
          <w:tcPr>
            <w:tcW w:w="2310" w:type="dxa"/>
            <w:gridSpan w:val="7"/>
          </w:tcPr>
          <w:p>
            <w:pPr/>
            <w:r>
              <w:rPr>
                <w:lang w:val="zh-CN"/>
                <w:rFonts w:ascii="Times New Roman" w:hAnsi="Times New Roman" w:cs="Times New Roman"/>
                <w:b/>
                <w:color w:val="000000"/>
              </w:rPr>
              <w:t>上海扬州 重庆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车赴扬州（车程约4小时）下午：游览【东关街】，是扬州城里最具有代表性的一条历史老街。它东至古运河边，西至国庆路，全长1122米。东关街以前不仅是扬州水陆交通要道，而且是商业、手工业和宗教文化中心。◆后根据航班时间安排送站，结束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交通飞机：重庆/扬州/重庆往返直飞机票及机建燃油附加税费（团队经济舱，机票不能退票、不能改签、不能更名）；用餐早餐：5早、酒店内用（酒店免费提供，不用餐不退餐费）正餐：5正，15餐标，正餐10人一桌，8菜1汤，不含酒水住宿全程商务酒店酒店升级一晚宋城千古情酒店住宿情况说明：全程行程内标注天数旅游团队酒店双人标间，要求单住的客人请另补单房差费用。部分酒店因注重环境保护原因，通常不提供一次性洗漱用品，请自备拖鞋、牙膏、牙刷等）；酒店设施：双床（或大床或单床）、卫生间、空调、电视、热水器等基本设施。汽车全程舒适空调旅游车（保证每人一座，含车内空调、车载电视）1人1正座（儿童也含座位）；景点行程中景点第一道大门票导游旅游目的地地接导游服务；儿童2-6岁儿童游客只含半餐，车位，导游服务，其他费用自理费用不含证件国内线：有效中国居民身份证原件保险国内线：旅游意外保险（强列建议客人购买旅游意外保险，保险费用：10元/人，最高赔付保险金额：10万元/人，以保险公司赔付条款为准）房差：400元/人2-12岁儿童门票：150元/人</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梅梅</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秦添</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10</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2020/10/23 17:28:39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