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仁在旅途团队/散客确认书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百事通九龙坡区西彭大石堡门市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13452001806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廖必霞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18623502612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SPT06MU200825A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上海往返6天699</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1、赵玉华</w:t>
            </w:r>
          </w:p>
        </w:tc>
        <w:tc>
          <w:tcPr>
            <w:tcW w:w="2310" w:type="dxa"/>
            <w:vAlign w:val="center"/>
            <w:gridSpan w:val="2"/>
          </w:tcPr>
          <w:p>
            <w:pPr/>
            <w:r>
              <w:rPr>
                <w:lang w:val="zh-CN"/>
                <w:rFonts w:ascii="Times New Roman" w:hAnsi="Times New Roman" w:cs="Times New Roman"/>
                <w:sz w:val="20"/>
                <w:szCs w:val="20"/>
                <w:color w:val="000000"/>
              </w:rPr>
              <w:t>510222196212210437</w:t>
            </w:r>
          </w:p>
        </w:tc>
        <w:tc>
          <w:tcPr>
            <w:tcW w:w="2310" w:type="dxa"/>
            <w:vAlign w:val="center"/>
          </w:tcPr>
          <w:p>
            <w:pPr/>
            <w:r>
              <w:rPr>
                <w:lang w:val="zh-CN"/>
                <w:rFonts w:ascii="Times New Roman" w:hAnsi="Times New Roman" w:cs="Times New Roman"/>
                <w:sz w:val="20"/>
                <w:szCs w:val="20"/>
                <w:color w:val="000000"/>
              </w:rPr>
              <w:t>15823904248</w:t>
            </w:r>
          </w:p>
        </w:tc>
        <w:tc>
          <w:tcPr>
            <w:tcW w:w="2310" w:type="dxa"/>
            <w:vAlign w:val="center"/>
          </w:tcPr>
          <w:p>
            <w:pPr/>
            <w:r>
              <w:rPr>
                <w:lang w:val="zh-CN"/>
                <w:rFonts w:ascii="Times New Roman" w:hAnsi="Times New Roman" w:cs="Times New Roman"/>
                <w:sz w:val="20"/>
                <w:szCs w:val="20"/>
                <w:color w:val="000000"/>
              </w:rPr>
              <w:t>2、陈伍伦</w:t>
            </w:r>
          </w:p>
        </w:tc>
        <w:tc>
          <w:tcPr>
            <w:tcW w:w="2310" w:type="dxa"/>
            <w:vAlign w:val="center"/>
            <w:gridSpan w:val="2"/>
          </w:tcPr>
          <w:p>
            <w:pPr/>
            <w:r>
              <w:rPr>
                <w:lang w:val="zh-CN"/>
                <w:rFonts w:ascii="Times New Roman" w:hAnsi="Times New Roman" w:cs="Times New Roman"/>
                <w:sz w:val="20"/>
                <w:szCs w:val="20"/>
                <w:color w:val="000000"/>
              </w:rPr>
              <w:t>510222194701120433</w:t>
            </w:r>
          </w:p>
        </w:tc>
        <w:tc>
          <w:tcPr>
            <w:tcW w:w="2310" w:type="dxa"/>
            <w:vAlign w:val="center"/>
          </w:tcPr>
          <w:p>
            <w:pPr/>
            <w:r>
              <w:rPr>
                <w:lang w:val="zh-CN"/>
                <w:rFonts w:ascii="Times New Roman" w:hAnsi="Times New Roman" w:cs="Times New Roman"/>
                <w:sz w:val="20"/>
                <w:szCs w:val="20"/>
                <w:color w:val="000000"/>
              </w:rPr>
              <w:t>15823904248</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1800.00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总金额：壹仟捌佰元整</w:t>
            </w:r>
          </w:p>
        </w:tc>
        <w:tc>
          <w:tcPr>
            <w:tcW w:w="2310" w:type="dxa"/>
            <w:textDirection w:val="right"/>
            <w:gridSpan w:val="3"/>
          </w:tcPr>
          <w:p>
            <w:pPr/>
            <w:r>
              <w:rPr>
                <w:lang w:val="zh-CN"/>
                <w:rFonts w:ascii="Times New Roman" w:hAnsi="Times New Roman" w:cs="Times New Roman"/>
                <w:b/>
                <w:color w:val="FF0000"/>
              </w:rPr>
              <w:t>1800.00</w:t>
            </w:r>
          </w:p>
        </w:tc>
      </w:tr>
      <w:tr>
        <w:tc>
          <w:tcPr>
            <w:tcW w:w="2310" w:type="dxa"/>
            <w:gridSpan w:val="8"/>
          </w:tcPr>
          <w:p>
            <w:pPr/>
            <w:r>
              <w:rPr>
                <w:lang w:val="zh-CN"/>
                <w:rFonts w:ascii="Times New Roman" w:hAnsi="Times New Roman" w:cs="Times New Roman"/>
                <w:sz w:val="20"/>
                <w:szCs w:val="20"/>
                <w:color w:val="000000"/>
              </w:rPr>
              <w:t>陈大容510222196912149446，赵玉华510222196212210437陈伍伦510222194701120433</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建行（2020.3停用）</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6217003760113785943</w:t>
            </w:r>
          </w:p>
        </w:tc>
      </w:tr>
      <w:tr>
        <w:tc>
          <w:tcPr>
            <w:tcW w:w="2310" w:type="dxa"/>
            <w:gridSpan w:val="3"/>
          </w:tcPr>
          <w:p>
            <w:pPr/>
            <w:r>
              <w:rPr>
                <w:lang w:val="zh-CN"/>
                <w:rFonts w:ascii="Times New Roman" w:hAnsi="Times New Roman" w:cs="Times New Roman"/>
                <w:sz w:val="20"/>
                <w:szCs w:val="20"/>
                <w:color w:val="000000"/>
              </w:rPr>
              <w:t>中国工商银行建新北路支行</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6222023100073786191</w:t>
            </w:r>
          </w:p>
        </w:tc>
      </w:tr>
      <w:tr>
        <w:tc>
          <w:tcPr>
            <w:tcW w:w="2310" w:type="dxa"/>
            <w:gridSpan w:val="3"/>
          </w:tcPr>
          <w:p>
            <w:pPr/>
            <w:r>
              <w:rPr>
                <w:lang w:val="zh-CN"/>
                <w:rFonts w:ascii="Times New Roman" w:hAnsi="Times New Roman" w:cs="Times New Roman"/>
                <w:sz w:val="20"/>
                <w:szCs w:val="20"/>
                <w:color w:val="000000"/>
              </w:rPr>
              <w:t>农行</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6228480478723673875</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（李乐）</w:t>
            </w:r>
          </w:p>
        </w:tc>
        <w:tc>
          <w:tcPr>
            <w:tcW w:w="2310" w:type="dxa"/>
            <w:gridSpan w:val="3"/>
          </w:tcPr>
          <w:p>
            <w:pPr/>
            <w:r>
              <w:rPr>
                <w:lang w:val="zh-CN"/>
                <w:rFonts w:ascii="Times New Roman" w:hAnsi="Times New Roman" w:cs="Times New Roman"/>
                <w:sz w:val="20"/>
                <w:szCs w:val="20"/>
                <w:color w:val="000000"/>
              </w:rPr>
              <w:t>6214850231391555</w:t>
            </w:r>
          </w:p>
        </w:tc>
      </w:tr>
      <w:tr>
        <w:tc>
          <w:tcPr>
            <w:tcW w:w="2310" w:type="dxa"/>
            <w:gridSpan w:val="3"/>
          </w:tcPr>
          <w:p>
            <w:pPr/>
            <w:r>
              <w:rPr>
                <w:lang w:val="zh-CN"/>
                <w:rFonts w:ascii="Times New Roman" w:hAnsi="Times New Roman" w:cs="Times New Roman"/>
                <w:sz w:val="20"/>
                <w:szCs w:val="20"/>
                <w:color w:val="000000"/>
              </w:rPr>
              <w:t>光大银行重庆沙坪坝支行小龙坎分理处</w:t>
            </w:r>
          </w:p>
        </w:tc>
        <w:tc>
          <w:tcPr>
            <w:tcW w:w="2310" w:type="dxa"/>
            <w:gridSpan w:val="2"/>
          </w:tcPr>
          <w:p>
            <w:pPr/>
            <w:r>
              <w:rPr>
                <w:lang w:val="zh-CN"/>
                <w:rFonts w:ascii="Times New Roman" w:hAnsi="Times New Roman" w:cs="Times New Roman"/>
                <w:sz w:val="20"/>
                <w:szCs w:val="20"/>
                <w:color w:val="000000"/>
              </w:rPr>
              <w:t>李乐</w:t>
            </w:r>
          </w:p>
        </w:tc>
        <w:tc>
          <w:tcPr>
            <w:tcW w:w="2310" w:type="dxa"/>
            <w:gridSpan w:val="3"/>
          </w:tcPr>
          <w:p>
            <w:pPr/>
            <w:r>
              <w:rPr>
                <w:lang w:val="zh-CN"/>
                <w:rFonts w:ascii="Times New Roman" w:hAnsi="Times New Roman" w:cs="Times New Roman"/>
                <w:sz w:val="20"/>
                <w:szCs w:val="20"/>
                <w:color w:val="000000"/>
              </w:rPr>
              <w:t>6226630900395863</w:t>
            </w:r>
          </w:p>
        </w:tc>
      </w:tr>
      <w:tr>
        <w:tc>
          <w:tcPr>
            <w:tcW w:w="2310" w:type="dxa"/>
            <w:gridSpan w:val="3"/>
          </w:tcPr>
          <w:p>
            <w:pPr/>
            <w:r>
              <w:rPr>
                <w:lang w:val="zh-CN"/>
                <w:rFonts w:ascii="Times New Roman" w:hAnsi="Times New Roman" w:cs="Times New Roman"/>
                <w:sz w:val="20"/>
                <w:szCs w:val="20"/>
                <w:color w:val="000000"/>
              </w:rPr>
              <w:t>兴业银行</w:t>
            </w:r>
          </w:p>
        </w:tc>
        <w:tc>
          <w:tcPr>
            <w:tcW w:w="2310" w:type="dxa"/>
            <w:gridSpan w:val="2"/>
          </w:tcPr>
          <w:p>
            <w:pPr/>
            <w:r>
              <w:rPr>
                <w:lang w:val="zh-CN"/>
                <w:rFonts w:ascii="Times New Roman" w:hAnsi="Times New Roman" w:cs="Times New Roman"/>
                <w:sz w:val="20"/>
                <w:szCs w:val="20"/>
                <w:color w:val="000000"/>
              </w:rPr>
              <w:t>（乐美基本户）</w:t>
            </w:r>
          </w:p>
        </w:tc>
        <w:tc>
          <w:tcPr>
            <w:tcW w:w="2310" w:type="dxa"/>
            <w:gridSpan w:val="3"/>
          </w:tcPr>
          <w:p>
            <w:pPr/>
            <w:r>
              <w:rPr>
                <w:lang w:val="zh-CN"/>
                <w:rFonts w:ascii="Times New Roman" w:hAnsi="Times New Roman" w:cs="Times New Roman"/>
                <w:sz w:val="20"/>
                <w:szCs w:val="20"/>
                <w:color w:val="000000"/>
              </w:rPr>
              <w:t>346 110 100 100 176 782</w:t>
            </w:r>
          </w:p>
        </w:tc>
      </w:tr>
      <w:tr>
        <w:tc>
          <w:tcPr>
            <w:tcW w:w="2310" w:type="dxa"/>
            <w:gridSpan w:val="3"/>
          </w:tcPr>
          <w:p>
            <w:pPr/>
            <w:r>
              <w:rPr>
                <w:lang w:val="zh-CN"/>
                <w:rFonts w:ascii="Times New Roman" w:hAnsi="Times New Roman" w:cs="Times New Roman"/>
                <w:sz w:val="20"/>
                <w:szCs w:val="20"/>
                <w:color w:val="000000"/>
              </w:rPr>
              <w:t>光大银行重庆渝中支行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39440188000108167</w:t>
            </w:r>
          </w:p>
        </w:tc>
      </w:tr>
      <w:tr>
        <w:tc>
          <w:tcPr>
            <w:tcW w:w="2310" w:type="dxa"/>
            <w:gridSpan w:val="3"/>
          </w:tcPr>
          <w:p>
            <w:pPr/>
            <w:r>
              <w:rPr>
                <w:lang w:val="zh-CN"/>
                <w:rFonts w:ascii="Times New Roman" w:hAnsi="Times New Roman" w:cs="Times New Roman"/>
                <w:sz w:val="20"/>
                <w:szCs w:val="20"/>
                <w:color w:val="000000"/>
              </w:rPr>
              <w:t>建设银行（一般户）</w:t>
            </w:r>
          </w:p>
        </w:tc>
        <w:tc>
          <w:tcPr>
            <w:tcW w:w="2310" w:type="dxa"/>
            <w:gridSpan w:val="2"/>
          </w:tcPr>
          <w:p>
            <w:pPr/>
            <w:r>
              <w:rPr>
                <w:lang w:val="zh-CN"/>
                <w:rFonts w:ascii="Times New Roman" w:hAnsi="Times New Roman" w:cs="Times New Roman"/>
                <w:sz w:val="20"/>
                <w:szCs w:val="20"/>
                <w:color w:val="000000"/>
              </w:rPr>
              <w:t>乐美</w:t>
            </w:r>
          </w:p>
        </w:tc>
        <w:tc>
          <w:tcPr>
            <w:tcW w:w="2310" w:type="dxa"/>
            <w:gridSpan w:val="3"/>
          </w:tcPr>
          <w:p>
            <w:pPr/>
            <w:r>
              <w:rPr>
                <w:lang w:val="zh-CN"/>
                <w:rFonts w:ascii="Times New Roman" w:hAnsi="Times New Roman" w:cs="Times New Roman"/>
                <w:sz w:val="20"/>
                <w:szCs w:val="20"/>
                <w:color w:val="000000"/>
              </w:rPr>
              <w:t>50050106360000000402</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（乐美一般户）签证专用</w:t>
            </w:r>
          </w:p>
        </w:tc>
        <w:tc>
          <w:tcPr>
            <w:tcW w:w="2310" w:type="dxa"/>
            <w:gridSpan w:val="3"/>
          </w:tcPr>
          <w:p>
            <w:pPr/>
            <w:r>
              <w:rPr>
                <w:lang w:val="zh-CN"/>
                <w:rFonts w:ascii="Times New Roman" w:hAnsi="Times New Roman" w:cs="Times New Roman"/>
                <w:sz w:val="20"/>
                <w:szCs w:val="20"/>
                <w:color w:val="000000"/>
              </w:rPr>
              <w:t>114464673748</w:t>
            </w:r>
          </w:p>
        </w:tc>
      </w:tr>
      <w:tr>
        <w:tc>
          <w:tcPr>
            <w:tcW w:w="2310" w:type="dxa"/>
            <w:gridSpan w:val="3"/>
          </w:tcPr>
          <w:p>
            <w:pPr/>
            <w:r>
              <w:rPr>
                <w:lang w:val="zh-CN"/>
                <w:rFonts w:ascii="Times New Roman" w:hAnsi="Times New Roman" w:cs="Times New Roman"/>
                <w:sz w:val="20"/>
                <w:szCs w:val="20"/>
                <w:color w:val="000000"/>
              </w:rPr>
              <w:t>现金账户</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华夏银行杭州分行西溪支行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10018051705056</w:t>
            </w:r>
          </w:p>
        </w:tc>
      </w:tr>
      <w:tr>
        <w:tc>
          <w:tcPr>
            <w:tcW w:w="2310" w:type="dxa"/>
            <w:gridSpan w:val="3"/>
          </w:tcPr>
          <w:p>
            <w:pPr/>
            <w:r>
              <w:rPr>
                <w:lang w:val="zh-CN"/>
                <w:rFonts w:ascii="Times New Roman" w:hAnsi="Times New Roman" w:cs="Times New Roman"/>
                <w:sz w:val="20"/>
                <w:szCs w:val="20"/>
                <w:color w:val="000000"/>
              </w:rPr>
              <w:t>中国工商银行九龙坡支行（青花瓷）</w:t>
            </w:r>
          </w:p>
        </w:tc>
        <w:tc>
          <w:tcPr>
            <w:tcW w:w="2310" w:type="dxa"/>
            <w:gridSpan w:val="2"/>
          </w:tcPr>
          <w:p>
            <w:pPr/>
            <w:r>
              <w:rPr>
                <w:lang w:val="zh-CN"/>
                <w:rFonts w:ascii="Times New Roman" w:hAnsi="Times New Roman" w:cs="Times New Roman"/>
                <w:sz w:val="20"/>
                <w:szCs w:val="20"/>
                <w:color w:val="000000"/>
              </w:rPr>
              <w:t>袁艺</w:t>
            </w:r>
          </w:p>
        </w:tc>
        <w:tc>
          <w:tcPr>
            <w:tcW w:w="2310" w:type="dxa"/>
            <w:gridSpan w:val="3"/>
          </w:tcPr>
          <w:p>
            <w:pPr/>
            <w:r>
              <w:rPr>
                <w:lang w:val="zh-CN"/>
                <w:rFonts w:ascii="Times New Roman" w:hAnsi="Times New Roman" w:cs="Times New Roman"/>
                <w:sz w:val="20"/>
                <w:szCs w:val="20"/>
                <w:color w:val="000000"/>
              </w:rPr>
              <w:t>6222033100011795203</w:t>
            </w:r>
          </w:p>
        </w:tc>
      </w:tr>
      <w:tr>
        <w:tc>
          <w:tcPr>
            <w:tcW w:w="2310" w:type="dxa"/>
            <w:gridSpan w:val="3"/>
          </w:tcPr>
          <w:p>
            <w:pPr/>
            <w:r>
              <w:rPr>
                <w:lang w:val="zh-CN"/>
                <w:rFonts w:ascii="Times New Roman" w:hAnsi="Times New Roman" w:cs="Times New Roman"/>
                <w:sz w:val="20"/>
                <w:szCs w:val="20"/>
                <w:color w:val="000000"/>
              </w:rPr>
              <w:t>独立社</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过账往来</w:t>
            </w:r>
          </w:p>
        </w:tc>
        <w:tc>
          <w:tcPr>
            <w:tcW w:w="2310" w:type="dxa"/>
            <w:gridSpan w:val="2"/>
          </w:tcPr>
          <w:p>
            <w:pPr/>
            <w:r>
              <w:rPr>
                <w:lang w:val="zh-CN"/>
                <w:rFonts w:ascii="Times New Roman" w:hAnsi="Times New Roman" w:cs="Times New Roman"/>
                <w:sz w:val="20"/>
                <w:szCs w:val="20"/>
                <w:color w:val="000000"/>
              </w:rPr>
              <w:t>123456</w:t>
            </w:r>
          </w:p>
        </w:tc>
        <w:tc>
          <w:tcPr>
            <w:tcW w:w="2310" w:type="dxa"/>
            <w:gridSpan w:val="3"/>
          </w:tcPr>
          <w:p>
            <w:pPr/>
            <w:r>
              <w:rPr>
                <w:lang w:val="zh-CN"/>
                <w:rFonts w:ascii="Times New Roman" w:hAnsi="Times New Roman" w:cs="Times New Roman"/>
                <w:sz w:val="20"/>
                <w:szCs w:val="20"/>
                <w:color w:val="000000"/>
              </w:rPr>
              <w:t>123456</w:t>
            </w:r>
          </w:p>
        </w:tc>
      </w:tr>
      <w:tr>
        <w:tc>
          <w:tcPr>
            <w:tcW w:w="2310" w:type="dxa"/>
            <w:gridSpan w:val="3"/>
          </w:tcPr>
          <w:p>
            <w:pPr/>
            <w:r>
              <w:rPr>
                <w:lang w:val="zh-CN"/>
                <w:rFonts w:ascii="Times New Roman" w:hAnsi="Times New Roman" w:cs="Times New Roman"/>
                <w:sz w:val="20"/>
                <w:szCs w:val="20"/>
                <w:color w:val="000000"/>
              </w:rPr>
              <w:t>中国建设银行观音桥支行</w:t>
            </w:r>
          </w:p>
        </w:tc>
        <w:tc>
          <w:tcPr>
            <w:tcW w:w="2310" w:type="dxa"/>
            <w:gridSpan w:val="2"/>
          </w:tcPr>
          <w:p>
            <w:pPr/>
            <w:r>
              <w:rPr>
                <w:lang w:val="zh-CN"/>
                <w:rFonts w:ascii="Times New Roman" w:hAnsi="Times New Roman" w:cs="Times New Roman"/>
                <w:sz w:val="20"/>
                <w:szCs w:val="20"/>
                <w:color w:val="000000"/>
              </w:rPr>
              <w:t>重庆乐美国际旅行社有限公司</w:t>
            </w:r>
          </w:p>
        </w:tc>
        <w:tc>
          <w:tcPr>
            <w:tcW w:w="2310" w:type="dxa"/>
            <w:gridSpan w:val="3"/>
          </w:tcPr>
          <w:p>
            <w:pPr/>
            <w:r>
              <w:rPr>
                <w:lang w:val="zh-CN"/>
                <w:rFonts w:ascii="Times New Roman" w:hAnsi="Times New Roman" w:cs="Times New Roman"/>
                <w:sz w:val="20"/>
                <w:szCs w:val="20"/>
                <w:color w:val="000000"/>
              </w:rPr>
              <w:t>50050106360000000403（贷款户）</w:t>
            </w:r>
          </w:p>
        </w:tc>
      </w:tr>
      <w:tr>
        <w:tc>
          <w:tcPr>
            <w:tcW w:w="2310" w:type="dxa"/>
            <w:gridSpan w:val="3"/>
          </w:tcPr>
          <w:p>
            <w:pPr/>
            <w:r>
              <w:rPr>
                <w:lang w:val="zh-CN"/>
                <w:rFonts w:ascii="Times New Roman" w:hAnsi="Times New Roman" w:cs="Times New Roman"/>
                <w:sz w:val="20"/>
                <w:szCs w:val="20"/>
                <w:color w:val="000000"/>
              </w:rPr>
              <w:t>中国建设银行九龙坡万象城支行</w:t>
            </w:r>
          </w:p>
        </w:tc>
        <w:tc>
          <w:tcPr>
            <w:tcW w:w="2310" w:type="dxa"/>
            <w:gridSpan w:val="2"/>
          </w:tcPr>
          <w:p>
            <w:pPr/>
            <w:r>
              <w:rPr>
                <w:lang w:val="zh-CN"/>
                <w:rFonts w:ascii="Times New Roman" w:hAnsi="Times New Roman" w:cs="Times New Roman"/>
                <w:sz w:val="20"/>
                <w:szCs w:val="20"/>
                <w:color w:val="000000"/>
              </w:rPr>
              <w:t>重庆威盛国际旅行社有限公司</w:t>
            </w:r>
          </w:p>
        </w:tc>
        <w:tc>
          <w:tcPr>
            <w:tcW w:w="2310" w:type="dxa"/>
            <w:gridSpan w:val="3"/>
          </w:tcPr>
          <w:p>
            <w:pPr/>
            <w:r>
              <w:rPr>
                <w:lang w:val="zh-CN"/>
                <w:rFonts w:ascii="Times New Roman" w:hAnsi="Times New Roman" w:cs="Times New Roman"/>
                <w:sz w:val="20"/>
                <w:szCs w:val="20"/>
                <w:color w:val="000000"/>
              </w:rPr>
              <w:t>5005 0103 7100 0000 0216</w:t>
            </w:r>
          </w:p>
        </w:tc>
      </w:tr>
      <w:tr>
        <w:tc>
          <w:tcPr>
            <w:tcW w:w="2310" w:type="dxa"/>
            <w:gridSpan w:val="3"/>
          </w:tcPr>
          <w:p>
            <w:pPr/>
            <w:r>
              <w:rPr>
                <w:lang w:val="zh-CN"/>
                <w:rFonts w:ascii="Times New Roman" w:hAnsi="Times New Roman" w:cs="Times New Roman"/>
                <w:sz w:val="20"/>
                <w:szCs w:val="20"/>
                <w:color w:val="000000"/>
              </w:rPr>
              <w:t>兴业银行九龙坡万象城支行</w:t>
            </w:r>
          </w:p>
        </w:tc>
        <w:tc>
          <w:tcPr>
            <w:tcW w:w="2310" w:type="dxa"/>
            <w:gridSpan w:val="2"/>
          </w:tcPr>
          <w:p>
            <w:pPr/>
            <w:r>
              <w:rPr>
                <w:lang w:val="zh-CN"/>
                <w:rFonts w:ascii="Times New Roman" w:hAnsi="Times New Roman" w:cs="Times New Roman"/>
                <w:sz w:val="20"/>
                <w:szCs w:val="20"/>
                <w:color w:val="000000"/>
              </w:rPr>
              <w:t>袁艺（威盛）</w:t>
            </w:r>
          </w:p>
        </w:tc>
        <w:tc>
          <w:tcPr>
            <w:tcW w:w="2310" w:type="dxa"/>
            <w:gridSpan w:val="3"/>
          </w:tcPr>
          <w:p>
            <w:pPr/>
            <w:r>
              <w:rPr>
                <w:lang w:val="zh-CN"/>
                <w:rFonts w:ascii="Times New Roman" w:hAnsi="Times New Roman" w:cs="Times New Roman"/>
                <w:sz w:val="20"/>
                <w:szCs w:val="20"/>
                <w:color w:val="000000"/>
              </w:rPr>
              <w:t>6229 0834 3055 8025 14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2020/08/25</w:t>
            </w:r>
          </w:p>
        </w:tc>
        <w:tc>
          <w:tcPr>
            <w:tcW w:w="2310" w:type="dxa"/>
            <w:gridSpan w:val="7"/>
          </w:tcPr>
          <w:p>
            <w:pPr/>
            <w:r>
              <w:rPr>
                <w:lang w:val="zh-CN"/>
                <w:rFonts w:ascii="Times New Roman" w:hAnsi="Times New Roman" w:cs="Times New Roman"/>
                <w:b/>
                <w:color w:val="000000"/>
              </w:rPr>
              <w:t>重庆-上海(飞机)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重庆江北机场国内出发大厅集合，乘座飞机飞往上海（飞行时间全程约120分钟）（飞机上无导游，由我社送团工作人员在机场协助游客办理登机相关手续），抵达魔都—上海，导游接站。车赴扬州（车程约4小时）。◆游览【东关街】，是扬州城里最具有代表性的一条历史老街。它东至古运河边，西至国庆路，全长1122米。东关街以前不仅是扬州水陆交通要道，而且是商业、手工业和宗教文化中心。车赴南京（车程约1.5小时）◆游览南京六朝文化和民俗市肆文化于一身的【夫子庙老街】（不含夫子庙大成殿门票）各种百年老店、各种秦淮小吃，德云社等（游览时间不低1小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早餐：无；午餐：无；晚餐：无；住宿：南京</w:t>
            </w:r>
          </w:p>
        </w:tc>
      </w:tr>
      <w:tr>
        <w:tc>
          <w:tcPr>
            <w:tcW w:w="2310" w:type="dxa"/>
            <w:vAlign w:val="center"/>
            <w:vMerge w:val="restart"/>
          </w:tcPr>
          <w:p>
            <w:pPr/>
            <w:r>
              <w:rPr>
                <w:lang w:val="zh-CN"/>
                <w:rFonts w:ascii="Times New Roman" w:hAnsi="Times New Roman" w:cs="Times New Roman"/>
                <w:sz w:val="20"/>
                <w:szCs w:val="20"/>
                <w:color w:val="000000"/>
              </w:rPr>
              <w:t>2020/08/26</w:t>
            </w:r>
          </w:p>
        </w:tc>
        <w:tc>
          <w:tcPr>
            <w:tcW w:w="2310" w:type="dxa"/>
            <w:gridSpan w:val="7"/>
          </w:tcPr>
          <w:p>
            <w:pPr/>
            <w:r>
              <w:rPr>
                <w:lang w:val="zh-CN"/>
                <w:rFonts w:ascii="Times New Roman" w:hAnsi="Times New Roman" w:cs="Times New Roman"/>
                <w:b/>
                <w:color w:val="000000"/>
              </w:rPr>
              <w:t>南京-无锡(汽车)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游览【牛首山风景区】（游览时间不少于1.5小时）又名天阙山，因山顶东西双峰形似牛头双角而得名。牛首山风光秀美，素有“春牛首”之美誉，古有牛首烟岚、献花清兴、祖堂振锡等金陵美景，还遗存了很多历史古迹，如岳飞抗金故垒、摩崖石刻、弘觉寺塔、郑和文化园等。江苏新十大景区”之首，旖旎秀丽的自然风光，宏伟壮观的佛教建筑（佛顶宫、佛顶塔、佛顶寺等），精美绝伦的佛文化艺术，举世无双的佛顶骨舍利，让你目不暇接，叹为观止！【佛顶宫】安放和供奉佛顶舍利的地方、在这里游客可以“借花献佛”——佛说法时，诸天散花。车赴无锡（车程约2小时）。◆游览【太湖鼋头渚】乘游船，长春花漪——水上看鼋头、鼋渚春涛——包孕吴越、摩崖石刻——万浪桥——苍鹰渚（揽太湖七十二峰）——登太湖仙岛，畅游太湖。入住酒店。温馨提示：1：周一中山陵陵门内的景区闭馆，只游览博爱广场、孝经鼎及神道部分，敬请谅解。2：可根据个人情况自愿选择乘坐景区内小交通，不属于推荐自费项目。如需乘坐，费用自理（20元/人）3：牛首山风景区占地面积2万多亩，景区较大，为了更好佛顶宫为了佛骨舍利珍藏处，有交通观光车提供，建议游客可根据选择自愿乘坐，自理25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早餐：酒店；午餐：团餐；晚餐：无；住宿：无锡</w:t>
            </w:r>
          </w:p>
        </w:tc>
      </w:tr>
      <w:tr>
        <w:tc>
          <w:tcPr>
            <w:tcW w:w="2310" w:type="dxa"/>
            <w:vAlign w:val="center"/>
            <w:vMerge w:val="restart"/>
          </w:tcPr>
          <w:p>
            <w:pPr/>
            <w:r>
              <w:rPr>
                <w:lang w:val="zh-CN"/>
                <w:rFonts w:ascii="Times New Roman" w:hAnsi="Times New Roman" w:cs="Times New Roman"/>
                <w:sz w:val="20"/>
                <w:szCs w:val="20"/>
                <w:color w:val="000000"/>
              </w:rPr>
              <w:t>2020/08/27</w:t>
            </w:r>
          </w:p>
        </w:tc>
        <w:tc>
          <w:tcPr>
            <w:tcW w:w="2310" w:type="dxa"/>
            <w:gridSpan w:val="7"/>
          </w:tcPr>
          <w:p>
            <w:pPr/>
            <w:r>
              <w:rPr>
                <w:lang w:val="zh-CN"/>
                <w:rFonts w:ascii="Times New Roman" w:hAnsi="Times New Roman" w:cs="Times New Roman"/>
                <w:b/>
                <w:color w:val="000000"/>
              </w:rPr>
              <w:t>无锡-苏州(汽车)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苏州（车程约1小时）◆参观【苏和盛珍珠博物馆】即华东淡水珍珠研究院，地处古城苏州，与著名寒山寺隔水相望，总占地6000余平，是国内唯一以淡水珍珠为主题展示的专业化博物馆。◆游览乾隆六下江南的园林古镇--水乡【木渎】（游览时间约1.5小时）（国家AAAA级景区），含虹饮山房（江南皇家园林、古戏台、圣旨馆、科举馆等）、严家花园（江南私家园林的杰出代表）◆游览中国四大名园之一【留园】（游览时间约1小时），以独创一格、收放自然的精湛建筑艺术而享有盛名.观赏留园三绝：冠云峰、楠木殿、鱼化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早餐：酒店；午餐：团餐；晚餐：无；住宿：苏州</w:t>
            </w:r>
          </w:p>
        </w:tc>
      </w:tr>
      <w:tr>
        <w:tc>
          <w:tcPr>
            <w:tcW w:w="2310" w:type="dxa"/>
            <w:vAlign w:val="center"/>
            <w:vMerge w:val="restart"/>
          </w:tcPr>
          <w:p>
            <w:pPr/>
            <w:r>
              <w:rPr>
                <w:lang w:val="zh-CN"/>
                <w:rFonts w:ascii="Times New Roman" w:hAnsi="Times New Roman" w:cs="Times New Roman"/>
                <w:sz w:val="20"/>
                <w:szCs w:val="20"/>
                <w:color w:val="000000"/>
              </w:rPr>
              <w:t>2020/08/28</w:t>
            </w:r>
          </w:p>
        </w:tc>
        <w:tc>
          <w:tcPr>
            <w:tcW w:w="2310" w:type="dxa"/>
            <w:gridSpan w:val="7"/>
          </w:tcPr>
          <w:p>
            <w:pPr/>
            <w:r>
              <w:rPr>
                <w:lang w:val="zh-CN"/>
                <w:rFonts w:ascii="Times New Roman" w:hAnsi="Times New Roman" w:cs="Times New Roman"/>
                <w:b/>
                <w:color w:val="000000"/>
              </w:rPr>
              <w:t>苏州-杭州(汽车)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车赴桐乡（车程约1.5小时）◆参观【百匠工翡翠展示中心】桐乡百匠工是一家集原料采购，加工设计，批发兼零售的综合性企业。直接和缅甸翡翠原产地对接，实现了翡翠资源的便捷进口之后进行自主加工。所谓玉不琢不成器。“玉必有工，工必有意，意必吉祥”而江南最为有名的便是雕刻。百匠工诸多作品都是出自获得“天工奖”的雕刻大师之手。车赴杭州（车程约2小时）◆游览‘’西湖三面环山，溪谷缕注，下有渊泉百道，潴而为湖“——-【西湖】（漫步游览西湖，时间约1.5小时）”秀丽雅致的西湖，被赞叹“欲把西湖比西子，浓妆淡抹总相宜”，将西湖比喻成西施，不管春夏秋冬，朝夕晴雨都别有一番风味。自然美景与人文文化的集合，给西湖带来一抹诗情画意。◆特别安排龙坞茶田采茶体验或茶田拍照打卡，品尝【杭州风味餐-御茶宴】随餐赠送品尝西湖龙井一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早餐：酒店；午餐：无；晚餐：无；住宿：杭州</w:t>
            </w:r>
          </w:p>
        </w:tc>
      </w:tr>
      <w:tr>
        <w:tc>
          <w:tcPr>
            <w:tcW w:w="2310" w:type="dxa"/>
            <w:vAlign w:val="center"/>
            <w:vMerge w:val="restart"/>
          </w:tcPr>
          <w:p>
            <w:pPr/>
            <w:r>
              <w:rPr>
                <w:lang w:val="zh-CN"/>
                <w:rFonts w:ascii="Times New Roman" w:hAnsi="Times New Roman" w:cs="Times New Roman"/>
                <w:sz w:val="20"/>
                <w:szCs w:val="20"/>
                <w:color w:val="000000"/>
              </w:rPr>
              <w:t>2020/08/29</w:t>
            </w:r>
          </w:p>
        </w:tc>
        <w:tc>
          <w:tcPr>
            <w:tcW w:w="2310" w:type="dxa"/>
            <w:gridSpan w:val="7"/>
          </w:tcPr>
          <w:p>
            <w:pPr/>
            <w:r>
              <w:rPr>
                <w:lang w:val="zh-CN"/>
                <w:rFonts w:ascii="Times New Roman" w:hAnsi="Times New Roman" w:cs="Times New Roman"/>
                <w:b/>
                <w:color w:val="000000"/>
              </w:rPr>
              <w:t>杭州-上海(汽车)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参观【锦绣天地—蚕桑博览园】桐乡丝绸历史悠久，质地轻软，色彩绮丽，早在汉代，就已通过”丝绸之路”远销国外。现代已发展到绸、缎、绫、罗、锦、纺、绒、绉、绢等十几个大类，二百多个品种，二千余个花色，图景新颖，富丽华贵，花卉层次分明，人物栩栩如生；◆游览中国最后的枕水人家——【乌镇东栅】（游览时间约1.5小时），感受原汁原味的水乡风貌和深厚的文化底蕴，水乡风貌完整，生活气息浓郁，手工作坊和传统商铺各具特色，特色展馆琳琅满目。◆游览【外滩风光带】（游览时间约40分钟）--百年上海滩的象征，博览万国建筑群、黄埔江风光。漫步【南京路步行街】（约1小时），老上海十里洋场，中华五星商业街，数以千计的大中小型商场，汇成中国的时尚核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早餐：酒店；午餐：团餐；晚餐：无；住宿：上海</w:t>
            </w:r>
          </w:p>
        </w:tc>
      </w:tr>
      <w:tr>
        <w:tc>
          <w:tcPr>
            <w:tcW w:w="2310" w:type="dxa"/>
            <w:vAlign w:val="center"/>
            <w:vMerge w:val="restart"/>
          </w:tcPr>
          <w:p>
            <w:pPr/>
            <w:r>
              <w:rPr>
                <w:lang w:val="zh-CN"/>
                <w:rFonts w:ascii="Times New Roman" w:hAnsi="Times New Roman" w:cs="Times New Roman"/>
                <w:sz w:val="20"/>
                <w:szCs w:val="20"/>
                <w:color w:val="000000"/>
              </w:rPr>
              <w:t>2020/08/30</w:t>
            </w:r>
          </w:p>
        </w:tc>
        <w:tc>
          <w:tcPr>
            <w:tcW w:w="2310" w:type="dxa"/>
            <w:gridSpan w:val="7"/>
          </w:tcPr>
          <w:p>
            <w:pPr/>
            <w:r>
              <w:rPr>
                <w:lang w:val="zh-CN"/>
                <w:rFonts w:ascii="Times New Roman" w:hAnsi="Times New Roman" w:cs="Times New Roman"/>
                <w:b/>
                <w:color w:val="000000"/>
              </w:rPr>
              <w:t>上海-重庆(飞机)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参观【上海镶黄玉都】（游览时间不低于1.5小时）上海镶皇艺都珠宝公司主营产品有缅甸翡翠、碧玺、玉髓、和田碧玉、琥珀项链等饰品，业内领先技术的掌握、一体化的优化生产体系、所在区域具有较强的产业集群效应。玉器加工，玉器批发为一体的玉器品牌。◆根据航班时间安排送站，结束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早餐：酒店；午餐：无；晚餐：无；住宿：无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  交通  飞机：重庆/上海/重庆往返直飞机票及机建燃油附加税费（团队经济舱，机票不能退票、不能改签、不能更名）；  用餐  早餐：5早、酒店内用（酒店免费提供，不用餐不退餐费）正餐：5正，20餐标，正餐10人一桌，10菜1汤，不含酒水  住宿  全程商务酒店酒店升级一晚宋城千古情酒店住宿情况说明：全程行程内标注天数旅游团队酒店双人标间，要求单住的客人请另补单房差费用。部分酒店因注重环境保护原因，通常不提供一次性洗漱用品，请自备拖鞋、牙膏、牙刷等）；酒店设施：双床（或大床或单床）、卫生间、空调、电视、热水器等基本设施。  汽车  全程舒适空调旅游车（保证每人一座，含车内空调、车载电视）1人1正座（儿童也含座位）；  景点  行程中景点第一道大门票  导游  旅游目的地地接导游服务；  儿童  2-6岁儿童游客只含半餐，车位，导游服务，其他费用自理  费用不含  证件  国内线：有效中国居民身份证原件  保险  国内线：旅游意外保险（强列建议客人购买旅游意外保险，保险费用：10元/人，最高赔付保险金额：10万元/人，以保险公司赔付条款为准）房差：400元/人2-12岁儿童门票：150元/人  特别提示  1、我社或当地旅行社在不减少景点及降低服务标准的前提下，有权于游览过程中视当时的条件、情况及突发事件调整景点的游览先后顺序；2、导游或领队，有义务为游客介绍景区自费游乐项目，但不作为强迫推荐，是否参与由游客视自己身体情况及能否控制风险而自定；3、本行程为约定行程，客人不能于旅游过程中随意脱团。4、烦请各位游客详细阅读本旅游行程，并请结合旅游行程安排考量自身健康状况是否适合参加本次旅游，游客应对自己身体健康状况承担责任。特殊人群（包括但不限于）：重症疾病患、70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补充协议书补充协议书在此次旅游安排中，___________________和旅行社经过协商达成一致意见。要求旅行社把以下购物店及推荐自费项目安排进行程里面，签字确认。一、自费项目3个，具体如下：城市  项目  介绍  苏州  苏州游船  被称为“老苏州的缩影、吴文化的代表，细听“吴侬软语”苏州评弹，乘船运河之上，穿行苏城之间，摇曳灯光之中，体味真正江南。  150元/人  杭州  杭州宋城景区  杭州标志性演出，被誉“世界三大名秀之一”！以杭州的历史典故、神话传说为基点，融合歌舞、杂技艺术于一体，应用现代高科技手段营造如梦如幻的艺术效果，给人以强烈的视觉震撼。堪与法国巴黎红磨坊和美国拉斯韦加斯秀相媲美  310元/人起  上海  上海夜景  登上海【金茂大厦】第88层观光厅，登高远眺，大上海的景观尽收眼底，浦江两岸高楼林立，黄浦江上百舸争流，您可亲身体验"落霞与孤骛齐飞，秋水共长天一色"的美景；船游黄浦江夜景，360度感受大上海的魅力  300元/人  一、全程行程以外含有4个购物店，具体如下：城市  购物店名称  介绍  停留时间  苏州  苏和盛珍珠  华东淡水珍珠研究院，地处古城苏州，总占地面积6000余平，是国内唯一以“淡水珍珠”为主题展示的专业化博物馆  停留时间不低于90分钟  杭州  杭州西湖丝绸  丝绸，质地轻软，色彩绮丽，品种繁多，有绸、缎、绫、绢等十几类品种，最著名的品牌有长城、喜得宝、万事利、凯地、杭丝路等。  停留时间不低于90分钟  桐乡  百匠工珠宝  桐乡百匠工是一家集原料采购，加工设计，批发兼零售的综合性企业。直接和缅甸翡翠原产地对接，实现了翡翠资源的便捷进口之后进行自主加工。所谓玉不琢不成器。“玉必有工，工必有意，意必吉祥”而江南最为有名的便是雕刻。百匠工诸多作品都是出自获得“天工奖”的雕刻大师之手。  停留时间不低于90分钟  上海  东盟泰国城  泰国原产的纯天然、乳胶枕头、乳胶床垫，能够完全适应颈部形状的变化而让您的颈椎和脊椎处在均匀撑托状态，不仅有助于释放颈椎来自白天的压力，还对颈椎疼痛困扰的人带来辅助康复作用  停留时间不低于90分钟   l 对于此次旅行，旅行社需确保无强迫行为。l 商品购买时请注意，根据当地相关法律，某些商品一经售出不再接受退货；若属于质量问题，旅行社无条件接受退货。l 以上陈述推荐项目仅适用本行程，其他消费行为旅行社可以协助办理，但不承担任何责任。n 我本人已详细阅读了同旅游公司签订的旅游合同、本协议书等全部材料，充分理解并清楚知晓此次旅游的全部相关信息，平等自愿按协议约定履行全部协议并确认：　　1、旅行社已就本次旅行的上述协议项目（或购物店或推荐自费项目）的特色、旅游者自愿参加购物或自费项目的相关权益及风险对我进行了全面的告知、提醒。经慎重考虑后，我自愿选择并参加上述协议项目（或购物店或推荐自费项目），此协议的签订过程旅行社并无强迫。我承诺将按照导游提醒自愿参加上述项目，并理性消费，注意人身和财产安全。如因旅行社不能控制原因无法安排的，我对旅行社予以理解，双方互不追责。　　2、本人同意导游在不减少旅游景点数量的前提下，为优化旅游体验，可根据实际情况调整景点游览顺序。　　3、我自愿同意此协议为旅游合同的补充协议，为旅游合同不可分割的组成部分，效力同旅游合同。l 双方签字：旅游者确认：（以上资料属实，已阅读并同意本行程内容及记载的服务项目、条款及附加协议）n 旅游者认可以上行程安排签字确认： 年   月   日n 旅行社签约代表（联系人）：   年   月   日</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张娅</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廖必霞</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8</w:t>
                  </w:r>
                  <w:r w:rsidR="00192D3B">
                    <w:rPr>
                      <w:rFonts w:asciiTheme="minorEastAsia" w:hAnsiTheme="minorEastAsia" w:hint="eastAsia"/>
                    </w:rPr>
                    <w:t xml:space="preserve">月 </w:t>
                  </w:r>
                  <w:r>
                    <w:rPr>
                      <w:rFonts w:asciiTheme="minorEastAsia" w:hAnsiTheme="minorEastAsia" w:hint="eastAsia"/>
                    </w:rPr>
                    <w:t>14</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2020/8/14 9:45:41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