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创享旅游团队/散客确认书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重庆青旅双巷子街门市部（原北城天街）</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马洪</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13368396823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陈停停</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18875256035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CQCXCJ-20200126-C</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春节升级泰新马10天9晚FD-D7</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2020-01-26 FD557 重庆→曼谷 11:20-13:35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2020-02-04 D7808 吉隆坡→重庆 18:55-23:3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1、刘凌植</w:t>
            </w:r>
          </w:p>
        </w:tc>
        <w:tc>
          <w:tcPr>
            <w:tcW w:w="2310" w:type="dxa"/>
            <w:vAlign w:val="center"/>
          </w:tcPr>
          <w:p>
            <w:pPr/>
            <w:r>
              <w:rPr>
                <w:lang w:val="zh-CN"/>
                <w:rFonts w:ascii="Times New Roman" w:hAnsi="Times New Roman" w:cs="Times New Roman"/>
                <w:sz w:val="20"/>
                <w:szCs w:val="20"/>
                <w:color w:val="000000"/>
              </w:rPr>
              <w:t>LIU/LINGXUAN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2011-05-02</w:t>
            </w:r>
          </w:p>
        </w:tc>
        <w:tc>
          <w:tcPr>
            <w:tcW w:w="2310" w:type="dxa"/>
            <w:vAlign w:val="center"/>
          </w:tcPr>
          <w:p>
            <w:pPr/>
            <w:r>
              <w:rPr>
                <w:lang w:val="zh-CN"/>
                <w:rFonts w:ascii="Times New Roman" w:hAnsi="Times New Roman" w:cs="Times New Roman"/>
                <w:sz w:val="20"/>
                <w:szCs w:val="20"/>
                <w:color w:val="000000"/>
              </w:rPr>
              <w:t>EF1141785</w:t>
            </w:r>
          </w:p>
        </w:tc>
        <w:tc>
          <w:tcPr>
            <w:tcW w:w="2310" w:type="dxa"/>
            <w:vAlign w:val="center"/>
          </w:tcPr>
          <w:p>
            <w:pPr/>
            <w:r>
              <w:rPr>
                <w:lang w:val="zh-CN"/>
                <w:rFonts w:ascii="Times New Roman" w:hAnsi="Times New Roman" w:cs="Times New Roman"/>
                <w:sz w:val="20"/>
                <w:szCs w:val="20"/>
                <w:color w:val="000000"/>
              </w:rPr>
              <w:t>贵州</w:t>
            </w:r>
          </w:p>
        </w:tc>
        <w:tc>
          <w:tcPr>
            <w:tcW w:w="2310" w:type="dxa"/>
            <w:vAlign w:val="center"/>
          </w:tcPr>
          <w:p>
            <w:pPr/>
            <w:r>
              <w:rPr>
                <w:lang w:val="zh-CN"/>
                <w:rFonts w:ascii="Times New Roman" w:hAnsi="Times New Roman" w:cs="Times New Roman"/>
                <w:sz w:val="20"/>
                <w:szCs w:val="20"/>
                <w:color w:val="000000"/>
              </w:rPr>
              <w:t>2019-01-22</w:t>
            </w:r>
          </w:p>
        </w:tc>
        <w:tc>
          <w:tcPr>
            <w:tcW w:w="2310" w:type="dxa"/>
            <w:vAlign w:val="center"/>
          </w:tcPr>
          <w:p>
            <w:pPr/>
            <w:r>
              <w:rPr>
                <w:lang w:val="zh-CN"/>
                <w:rFonts w:ascii="Times New Roman" w:hAnsi="Times New Roman" w:cs="Times New Roman"/>
                <w:sz w:val="20"/>
                <w:szCs w:val="20"/>
                <w:color w:val="000000"/>
              </w:rPr>
              <w:t>2024-01-21</w:t>
            </w:r>
          </w:p>
        </w:tc>
      </w:tr>
      <w:tr>
        <w:tc>
          <w:tcPr>
            <w:tcW w:w="2310" w:type="dxa"/>
            <w:vAlign w:val="center"/>
          </w:tcPr>
          <w:p>
            <w:pPr/>
            <w:r>
              <w:rPr>
                <w:lang w:val="zh-CN"/>
                <w:rFonts w:ascii="Times New Roman" w:hAnsi="Times New Roman" w:cs="Times New Roman"/>
                <w:sz w:val="20"/>
                <w:szCs w:val="20"/>
                <w:color w:val="000000"/>
              </w:rPr>
              <w:t>2、左丹</w:t>
            </w:r>
          </w:p>
        </w:tc>
        <w:tc>
          <w:tcPr>
            <w:tcW w:w="2310" w:type="dxa"/>
            <w:vAlign w:val="center"/>
          </w:tcPr>
          <w:p>
            <w:pPr/>
            <w:r>
              <w:rPr>
                <w:lang w:val="zh-CN"/>
                <w:rFonts w:ascii="Times New Roman" w:hAnsi="Times New Roman" w:cs="Times New Roman"/>
                <w:sz w:val="20"/>
                <w:szCs w:val="20"/>
                <w:color w:val="000000"/>
              </w:rPr>
              <w:t>ZUO/DAN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1987-05-02</w:t>
            </w:r>
          </w:p>
        </w:tc>
        <w:tc>
          <w:tcPr>
            <w:tcW w:w="2310" w:type="dxa"/>
            <w:vAlign w:val="center"/>
          </w:tcPr>
          <w:p>
            <w:pPr/>
            <w:r>
              <w:rPr>
                <w:lang w:val="zh-CN"/>
                <w:rFonts w:ascii="Times New Roman" w:hAnsi="Times New Roman" w:cs="Times New Roman"/>
                <w:sz w:val="20"/>
                <w:szCs w:val="20"/>
                <w:color w:val="000000"/>
              </w:rPr>
              <w:t>E34154883</w:t>
            </w:r>
          </w:p>
        </w:tc>
        <w:tc>
          <w:tcPr>
            <w:tcW w:w="2310" w:type="dxa"/>
            <w:vAlign w:val="center"/>
          </w:tcPr>
          <w:p>
            <w:pPr/>
            <w:r>
              <w:rPr>
                <w:lang w:val="zh-CN"/>
                <w:rFonts w:ascii="Times New Roman" w:hAnsi="Times New Roman" w:cs="Times New Roman"/>
                <w:sz w:val="20"/>
                <w:szCs w:val="20"/>
                <w:color w:val="000000"/>
              </w:rPr>
              <w:t>陕西</w:t>
            </w:r>
          </w:p>
        </w:tc>
        <w:tc>
          <w:tcPr>
            <w:tcW w:w="2310" w:type="dxa"/>
            <w:vAlign w:val="center"/>
          </w:tcPr>
          <w:p>
            <w:pPr/>
            <w:r>
              <w:rPr>
                <w:lang w:val="zh-CN"/>
                <w:rFonts w:ascii="Times New Roman" w:hAnsi="Times New Roman" w:cs="Times New Roman"/>
                <w:sz w:val="20"/>
                <w:szCs w:val="20"/>
                <w:color w:val="000000"/>
              </w:rPr>
              <w:t>2013-12-25</w:t>
            </w:r>
          </w:p>
        </w:tc>
        <w:tc>
          <w:tcPr>
            <w:tcW w:w="2310" w:type="dxa"/>
            <w:vAlign w:val="center"/>
          </w:tcPr>
          <w:p>
            <w:pPr/>
            <w:r>
              <w:rPr>
                <w:lang w:val="zh-CN"/>
                <w:rFonts w:ascii="Times New Roman" w:hAnsi="Times New Roman" w:cs="Times New Roman"/>
                <w:sz w:val="20"/>
                <w:szCs w:val="20"/>
                <w:color w:val="000000"/>
              </w:rPr>
              <w:t>2023-12-24</w:t>
            </w:r>
          </w:p>
        </w:tc>
      </w:tr>
      <w:tr>
        <w:tc>
          <w:tcPr>
            <w:tcW w:w="2310" w:type="dxa"/>
            <w:vAlign w:val="center"/>
          </w:tcPr>
          <w:p>
            <w:pPr/>
            <w:r>
              <w:rPr>
                <w:lang w:val="zh-CN"/>
                <w:rFonts w:ascii="Times New Roman" w:hAnsi="Times New Roman" w:cs="Times New Roman"/>
                <w:sz w:val="20"/>
                <w:szCs w:val="20"/>
                <w:color w:val="000000"/>
              </w:rPr>
              <w:t>3、高新蓝</w:t>
            </w:r>
          </w:p>
        </w:tc>
        <w:tc>
          <w:tcPr>
            <w:tcW w:w="2310" w:type="dxa"/>
            <w:vAlign w:val="center"/>
          </w:tcPr>
          <w:p>
            <w:pPr/>
            <w:r>
              <w:rPr>
                <w:lang w:val="zh-CN"/>
                <w:rFonts w:ascii="Times New Roman" w:hAnsi="Times New Roman" w:cs="Times New Roman"/>
                <w:sz w:val="20"/>
                <w:szCs w:val="20"/>
                <w:color w:val="000000"/>
              </w:rPr>
              <w:t>GAO/XINLAN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1986-10-31</w:t>
            </w:r>
          </w:p>
        </w:tc>
        <w:tc>
          <w:tcPr>
            <w:tcW w:w="2310" w:type="dxa"/>
            <w:vAlign w:val="center"/>
          </w:tcPr>
          <w:p>
            <w:pPr/>
            <w:r>
              <w:rPr>
                <w:lang w:val="zh-CN"/>
                <w:rFonts w:ascii="Times New Roman" w:hAnsi="Times New Roman" w:cs="Times New Roman"/>
                <w:sz w:val="20"/>
                <w:szCs w:val="20"/>
                <w:color w:val="000000"/>
              </w:rPr>
              <w:t>EF1142089</w:t>
            </w:r>
          </w:p>
        </w:tc>
        <w:tc>
          <w:tcPr>
            <w:tcW w:w="2310" w:type="dxa"/>
            <w:vAlign w:val="center"/>
          </w:tcPr>
          <w:p>
            <w:pPr/>
            <w:r>
              <w:rPr>
                <w:lang w:val="zh-CN"/>
                <w:rFonts w:ascii="Times New Roman" w:hAnsi="Times New Roman" w:cs="Times New Roman"/>
                <w:sz w:val="20"/>
                <w:szCs w:val="20"/>
                <w:color w:val="000000"/>
              </w:rPr>
              <w:t>贵州</w:t>
            </w:r>
          </w:p>
        </w:tc>
        <w:tc>
          <w:tcPr>
            <w:tcW w:w="2310" w:type="dxa"/>
            <w:vAlign w:val="center"/>
          </w:tcPr>
          <w:p>
            <w:pPr/>
            <w:r>
              <w:rPr>
                <w:lang w:val="zh-CN"/>
                <w:rFonts w:ascii="Times New Roman" w:hAnsi="Times New Roman" w:cs="Times New Roman"/>
                <w:sz w:val="20"/>
                <w:szCs w:val="20"/>
                <w:color w:val="000000"/>
              </w:rPr>
              <w:t>2019-01-22</w:t>
            </w:r>
          </w:p>
        </w:tc>
        <w:tc>
          <w:tcPr>
            <w:tcW w:w="2310" w:type="dxa"/>
            <w:vAlign w:val="center"/>
          </w:tcPr>
          <w:p>
            <w:pPr/>
            <w:r>
              <w:rPr>
                <w:lang w:val="zh-CN"/>
                <w:rFonts w:ascii="Times New Roman" w:hAnsi="Times New Roman" w:cs="Times New Roman"/>
                <w:sz w:val="20"/>
                <w:szCs w:val="20"/>
                <w:color w:val="000000"/>
              </w:rPr>
              <w:t>2029-01-21</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4080.00</w:t>
            </w:r>
          </w:p>
        </w:tc>
        <w:tc>
          <w:tcPr>
            <w:tcW w:w="2310" w:type="dxa"/>
          </w:tcPr>
          <w:p>
            <w:pPr/>
            <w:r>
              <w:rPr>
                <w:lang w:val="zh-CN"/>
                <w:rFonts w:ascii="Times New Roman" w:hAnsi="Times New Roman" w:cs="Times New Roman"/>
                <w:sz w:val="20"/>
                <w:szCs w:val="20"/>
                <w:color w:val="000000"/>
              </w:rPr>
              <w:t>8160.00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4080.00</w:t>
            </w:r>
          </w:p>
        </w:tc>
        <w:tc>
          <w:tcPr>
            <w:tcW w:w="2310" w:type="dxa"/>
          </w:tcPr>
          <w:p>
            <w:pPr/>
            <w:r>
              <w:rPr>
                <w:lang w:val="zh-CN"/>
                <w:rFonts w:ascii="Times New Roman" w:hAnsi="Times New Roman" w:cs="Times New Roman"/>
                <w:sz w:val="20"/>
                <w:szCs w:val="20"/>
                <w:color w:val="000000"/>
              </w:rPr>
              <w:t>4080.00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总金额：壹万贰仟贰佰肆拾元整</w:t>
            </w:r>
          </w:p>
        </w:tc>
        <w:tc>
          <w:tcPr>
            <w:tcW w:w="2310" w:type="dxa"/>
            <w:textDirection w:val="right"/>
            <w:gridSpan w:val="3"/>
          </w:tcPr>
          <w:p>
            <w:pPr/>
            <w:r>
              <w:rPr>
                <w:lang w:val="zh-CN"/>
                <w:rFonts w:ascii="Times New Roman" w:hAnsi="Times New Roman" w:cs="Times New Roman"/>
                <w:b/>
                <w:color w:val="FF0000"/>
              </w:rPr>
              <w:t>12240.00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中国银行重庆市分行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111604876313</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630386720000015</w:t>
            </w:r>
          </w:p>
        </w:tc>
      </w:tr>
      <w:tr>
        <w:tc>
          <w:tcPr>
            <w:tcW w:w="2310" w:type="dxa"/>
            <w:gridSpan w:val="3"/>
          </w:tcPr>
          <w:p>
            <w:pPr/>
            <w:r>
              <w:rPr>
                <w:lang w:val="zh-CN"/>
                <w:rFonts w:ascii="Times New Roman" w:hAnsi="Times New Roman" w:cs="Times New Roman"/>
                <w:sz w:val="20"/>
                <w:szCs w:val="20"/>
                <w:color w:val="000000"/>
              </w:rPr>
              <w:t>中国工商银行股份有限公司重庆较场口支行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3100 0215 1920 0036 509</w:t>
            </w:r>
          </w:p>
        </w:tc>
      </w:tr>
      <w:tr>
        <w:tc>
          <w:tcPr>
            <w:tcW w:w="2310" w:type="dxa"/>
            <w:gridSpan w:val="3"/>
          </w:tcPr>
          <w:p>
            <w:pPr/>
            <w:r>
              <w:rPr>
                <w:lang w:val="zh-CN"/>
                <w:rFonts w:ascii="Times New Roman" w:hAnsi="Times New Roman" w:cs="Times New Roman"/>
                <w:sz w:val="20"/>
                <w:szCs w:val="20"/>
                <w:color w:val="000000"/>
              </w:rPr>
              <w:t>中国建设银行观音桥支行建北分理处</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6227 0037 6207 0008 730</w:t>
            </w:r>
          </w:p>
        </w:tc>
      </w:tr>
      <w:tr>
        <w:tc>
          <w:tcPr>
            <w:tcW w:w="2310" w:type="dxa"/>
            <w:gridSpan w:val="3"/>
          </w:tcPr>
          <w:p>
            <w:pPr/>
            <w:r>
              <w:rPr>
                <w:lang w:val="zh-CN"/>
                <w:rFonts w:ascii="Times New Roman" w:hAnsi="Times New Roman" w:cs="Times New Roman"/>
                <w:sz w:val="20"/>
                <w:szCs w:val="20"/>
                <w:color w:val="000000"/>
              </w:rPr>
              <w:t>中国工商银行重庆分行建北支行营业部</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6222 0231 0000 9952 933</w:t>
            </w:r>
          </w:p>
        </w:tc>
      </w:tr>
      <w:tr>
        <w:tc>
          <w:tcPr>
            <w:tcW w:w="2310" w:type="dxa"/>
            <w:gridSpan w:val="3"/>
          </w:tcPr>
          <w:p>
            <w:pPr/>
            <w:r>
              <w:rPr>
                <w:lang w:val="zh-CN"/>
                <w:rFonts w:ascii="Times New Roman" w:hAnsi="Times New Roman" w:cs="Times New Roman"/>
                <w:sz w:val="20"/>
                <w:szCs w:val="20"/>
                <w:color w:val="000000"/>
              </w:rPr>
              <w:t>中国农业银行重庆长江路支行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622848 0470 25723 5312</w:t>
            </w:r>
          </w:p>
        </w:tc>
      </w:tr>
      <w:tr>
        <w:tc>
          <w:tcPr>
            <w:tcW w:w="2310" w:type="dxa"/>
            <w:gridSpan w:val="3"/>
          </w:tcPr>
          <w:p>
            <w:pPr/>
            <w:r>
              <w:rPr>
                <w:lang w:val="zh-CN"/>
                <w:rFonts w:ascii="Times New Roman" w:hAnsi="Times New Roman" w:cs="Times New Roman"/>
                <w:sz w:val="20"/>
                <w:szCs w:val="20"/>
                <w:color w:val="000000"/>
              </w:rPr>
              <w:t>工商银行  （外地汇款）</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6222 1086 5810 4658</w:t>
            </w:r>
          </w:p>
        </w:tc>
      </w:tr>
      <w:tr>
        <w:tc>
          <w:tcPr>
            <w:tcW w:w="2310" w:type="dxa"/>
            <w:gridSpan w:val="3"/>
          </w:tcPr>
          <w:p>
            <w:pPr/>
            <w:r>
              <w:rPr>
                <w:lang w:val="zh-CN"/>
                <w:rFonts w:ascii="Times New Roman" w:hAnsi="Times New Roman" w:cs="Times New Roman"/>
                <w:sz w:val="20"/>
                <w:szCs w:val="20"/>
                <w:color w:val="000000"/>
              </w:rPr>
              <w:t>重庆渝北银座村镇银</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6213471061000374020</w:t>
            </w:r>
          </w:p>
        </w:tc>
      </w:tr>
      <w:tr>
        <w:tc>
          <w:tcPr>
            <w:tcW w:w="2310" w:type="dxa"/>
            <w:gridSpan w:val="3"/>
          </w:tcPr>
          <w:p>
            <w:pPr/>
            <w:r>
              <w:rPr>
                <w:lang w:val="zh-CN"/>
                <w:rFonts w:ascii="Times New Roman" w:hAnsi="Times New Roman" w:cs="Times New Roman"/>
                <w:sz w:val="20"/>
                <w:szCs w:val="20"/>
                <w:color w:val="000000"/>
              </w:rPr>
              <w:t>重庆光大银行渝中支行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39440188000176501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2020/01/26</w:t>
            </w:r>
          </w:p>
        </w:tc>
        <w:tc>
          <w:tcPr>
            <w:tcW w:w="2310" w:type="dxa"/>
            <w:gridSpan w:val="7"/>
          </w:tcPr>
          <w:p>
            <w:pPr/>
            <w:r>
              <w:rPr>
                <w:lang w:val="zh-CN"/>
                <w:rFonts w:ascii="Times New Roman" w:hAnsi="Times New Roman" w:cs="Times New Roman"/>
                <w:b/>
                <w:color w:val="000000"/>
              </w:rPr>
              <w:t>重庆 曼谷     参考航班及时间：FD557(11:20-13:20)/FD553 (19:55-22:05)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各位贵宾于指定时间（航班起飞前2小时）自行前往重庆江北机场国际出发大厅集合，在我社专业中文领队（待告）的协助下办理登机事宜，然后乘坐飞机前往被称为“天使之城、佛庙之都”的泰国首都【曼谷】，抵达后专车接往酒店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2020/01/27</w:t>
            </w:r>
          </w:p>
        </w:tc>
        <w:tc>
          <w:tcPr>
            <w:tcW w:w="2310" w:type="dxa"/>
            <w:gridSpan w:val="7"/>
          </w:tcPr>
          <w:p>
            <w:pPr/>
            <w:r>
              <w:rPr>
                <w:lang w:val="zh-CN"/>
                <w:rFonts w:ascii="Times New Roman" w:hAnsi="Times New Roman" w:cs="Times New Roman"/>
                <w:b/>
                <w:color w:val="000000"/>
              </w:rPr>
              <w:t>曼谷：大皇宫+玉佛寺长尾船游湄南河郑王庙古法按摩顶级人妖表演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泰国金碧辉煌的【拉玛王朝大皇宫】，这里相当于中国的故宫，是各国游客到了曼谷的必去之地，汇集了泰国民族建筑、绘画、雕刻和装潢艺术的精粹；而后参观位于皇宫之侧、供奉着泰国第一国宝“翡翠玉佛”的【玉佛寺】（共约90分钟）。随后乘【泰式长尾船】畅游东方威尼斯之【湄南河】（大约20分钟）；从河城码头一号口出发，沿途经过湄南河上经典的风光带。著名的拉玛一世大桥、郑王庙、大皇宫等曼谷地标在湄南河粼粼波光的映衬下，显得格外迷人。随后参观【郑王庙】，郑王庙是纪念泰国第41代君王、民族英雄郑昭的寺庙。始建于大城王朝，位于泰国湄南河西岸的双子都市吞武里城，是泰国著名的寺庙，也是泰国王家寺庙之一。后特别安排享受泰国地道特色的【泰国古法按摩】（大约60分钟），解除一天的疲乏和辛苦（温馨提示：18岁以下未成年人不安排此按摩项目）；然后前往观看享誉全球的【泰国国际人妖歌舞表演】（大约60分钟），泰国人妖在历史上就是专为歌舞而培训，至今泰国人妖歌舞秀已到达巅峰，雌雄难辨、精彩纷呈的演出保证让您终身难忘！表演结束后还可以近距离欣赏人妖，跟她们比一比到底是我美还是你艳，拍照留念可千万不能忘了哟！最后返回酒店休息。特别备注:大皇宫、玉佛寺如遇政策性关闭则改为改为古城72府。【古城七十二府全景】游览时间大约（60分钟）是全世界最大的户外博物馆,占地面积约200英亩,与泰国国土的形状相同。这里是泰国名胜的聚集地,您可以在这里找到泰国各地最著名的建筑及山水美景【泰北清迈民庄】【大城王朝遗址】【世界文化遗产柏威夏古寺】【暹罗皇家船队】......从最古老的名胜到现代化独具匠心的泰文化,用几乎同比例拉近距离的方式巧妙结合呈现在这里,真可谓实景艺术大拼盘。</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2020/01/28</w:t>
            </w:r>
          </w:p>
        </w:tc>
        <w:tc>
          <w:tcPr>
            <w:tcW w:w="2310" w:type="dxa"/>
            <w:gridSpan w:val="7"/>
          </w:tcPr>
          <w:p>
            <w:pPr/>
            <w:r>
              <w:rPr>
                <w:lang w:val="zh-CN"/>
                <w:rFonts w:ascii="Times New Roman" w:hAnsi="Times New Roman" w:cs="Times New Roman"/>
                <w:b/>
                <w:color w:val="000000"/>
              </w:rPr>
              <w:t>芭提雅：清迈小镇 骑大象 坐马车 钓鳄鱼 七珍佛山 暹罗风情园(巴士)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指定时间乘车前往芭堤雅，游览【清迈小镇】（大约40分钟），让你有种到了泰国北部的错觉！集泰北建筑风格、少数民族、民俗风光于一体的综合性旅游景区。景区中有各种旅游项目。走进小镇只见街道两旁都是稻草屋顶的木板房，小街上空悬挂着五颜六色的装饰伞，一不留神，仿佛穿越到了泰国北部。游客【骑大象】代步（大约20分钟），森林田野、象步悠悠，享受泰国独特情调！之后【坐马车】可爱的小马车载着你哒哒哒欢快的奔跑；而后【钓鳄鱼】（大约15分），挑战凶猛的鳄鱼，与鳄鱼亲密接触！稍后前往参观泰国著名的【七珍佛山】，七珍佛山是为了庆祝泰皇登基50周年纪念，特别用雷射雕刻一座释迦牟尼佛的神像，此为芭达雅最大的释迦牟尼佛雕像，共用18吨重的24K金雕塑而成，此山中亦挖掘出许多的古佛像；由于科学的合理安排，再加上地理环境方面的原因，除正面外，左右两面较偏的地方也能看清坐在莲花座上的佛像金身。接着前往【暹罗风情园】，园区内丰富的呈现泰国当地的传统民俗特色及风情文化，最有名为泼水节及水灯节，泼水节对泰国人来说就是个最欢乐重大的新年节日，在准备开始祈求新的一年好运，园区内更贴心的为您准备当地的泰国传统服饰供您使用。只有在这里才能真正体验到如此特别的活动表演，把当地文化风情用表演的方式介绍的淋淋近致让大家深深的体验，精彩的传统民俗歌舞表演，足以让你留下深刻印象，撼动人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2020/01/29</w:t>
            </w:r>
          </w:p>
        </w:tc>
        <w:tc>
          <w:tcPr>
            <w:tcW w:w="2310" w:type="dxa"/>
            <w:gridSpan w:val="7"/>
          </w:tcPr>
          <w:p>
            <w:pPr/>
            <w:r>
              <w:rPr>
                <w:lang w:val="zh-CN"/>
                <w:rFonts w:ascii="Times New Roman" w:hAnsi="Times New Roman" w:cs="Times New Roman"/>
                <w:b/>
                <w:color w:val="000000"/>
              </w:rPr>
              <w:t>芭提雅：快艇～金沙岛 珊瑚岛 杜拉拉水上市场 现场观看JF泰拳比赛(巴士)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们将乘快艇来到电影《杜拉拉升职记》中拍摄过的美丽沙滩【金沙岛】，岛上的金沙碧浪是周围岛屿之最佳，此岛常年风平浪静,左青龙右白虎的风水蕴藏着神奇的力量。清澈海水、蔚蓝天空,伴着白雪般的洁白沙滩和色彩斑斓的热带鱼群,让您在此人间仙境留连忘返，而后前往【珊瑚岛】，抵达后可漫步在细白如丝的沙滩上，置身于湛蓝清澈见底的海水中，让你乐此不疲。岛上降落伞、摩托艇、海底漫步…精彩刺激的海上活动，让你乐此不疲！下午返回，前往电影的取景地之一【杜拉拉水上市场】，感受水上居民的市井生活，这里又称四合镇水乡，独具当地的特色，这里生活的是水上民居，他们居住在泰式木屋中，河道弯曲，感受曲折中的无限魅力。在河岸的边上，会看到很多的设铺摆摊、这就是我们所称为的位于水道中央的水上市场，这里琳琅满目，可观赏到泰国传统的的民族舞，婉转的笙歌，独特的场景，在这里还有很多小吃色泽可谓五颜六色，绚丽缤纷，老板的叫卖声吸引顾客前去。接着观看嗨爆全场的【泰拳比赛】（不低于30分钟）观看到拳手们真打真战场上挥洒汗水的一面，刺激而紧张。最后入住酒店休息。特别备注①：海上活动，安全第一，务必穿救生衣。特别备注②：岛上提供丰富多彩的付费水上活动（请勿轻信非旅行社人员的推销，以免上当受骗，若要参加可到旅行社指定的船家处报名）。</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2020/01/30</w:t>
            </w:r>
          </w:p>
        </w:tc>
        <w:tc>
          <w:tcPr>
            <w:tcW w:w="2310" w:type="dxa"/>
            <w:gridSpan w:val="7"/>
          </w:tcPr>
          <w:p>
            <w:pPr/>
            <w:r>
              <w:rPr>
                <w:lang w:val="zh-CN"/>
                <w:rFonts w:ascii="Times New Roman" w:hAnsi="Times New Roman" w:cs="Times New Roman"/>
                <w:b/>
                <w:color w:val="000000"/>
              </w:rPr>
              <w:t>芭提雅：四面佛  曼谷：人蛇大战  KING POWER国际免税店拉差达夜市(巴士)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泰国著名的【小乘佛教寺庙】（大约45分钟），膜拜全东南亚最负盛名、最灵验的四面佛，人称“有求必应佛”，无论是求财、事业、健康、婚姻都很灵验，也是港台明星们的最爱！然后乘车返回曼谷，观看驯蛇人与众蛇宝们亲密接触，您要足够勇敢，可以与蟒蛇亲密接触，也可以拍一张在泰国与蟒蛇亲密接触的照片留念。后乘车前往【KINGPOWER国际免税店】，选择自己心仪的世界名牌化妆品、手表、包包等一线品牌，您可以在此享受到高大上购物的乐趣；夜幕降临前，前往火车夜市【拉差达大街夜市】，置身其中，美轮美奂，感受曼谷当地人心目中数一数二的夜市。这里美食、手工艺品、服饰应有尽有，还有多间的露天酒吧!現場也有些LIVEBAND的表演，可说是相當的热闹!在这里，你可以自由逛吃狂吃，像个当地人一样，感受一下接地气的美食，后入住曼谷指定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2020/01/31</w:t>
            </w:r>
          </w:p>
        </w:tc>
        <w:tc>
          <w:tcPr>
            <w:tcW w:w="2310" w:type="dxa"/>
            <w:gridSpan w:val="7"/>
          </w:tcPr>
          <w:p>
            <w:pPr/>
            <w:r>
              <w:rPr>
                <w:lang w:val="zh-CN"/>
                <w:rFonts w:ascii="Times New Roman" w:hAnsi="Times New Roman" w:cs="Times New Roman"/>
                <w:b/>
                <w:color w:val="000000"/>
              </w:rPr>
              <w:t>曼谷新加坡 ：滨海湾花园（含空中走廊）圣淘沙公园   参考航班待定(飞机)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于指定时间集合乘车前往机场，搭乘航班前往美丽的花园城市——新加坡，抵达新加坡后乘车前往【伊丽莎白公园】、【高等法院】（外观）、【国会大厦】（外观）、【百年吊桥】（外观）、【市政厅】（外观）还有举世闻名的【狮身鱼尾像】。鱼尾狮是在1964年由水族馆馆长布仑纳设计，是新加坡旅游的标志。游客到此，可从鱼尾狮正面的看台上取得完美的拍照角度。纳入鱼尾狮身后的是浮尔顿酒店与金融区摩天大楼连成的背景。特别赠送游览【新加坡滨海湾花园】人类迄今最大的景观工程之一，展示新加坡作为花园中的热带城市的精髓，打造适宜居住、工作和娱乐的完美环境；园内有最具特色的【玻璃花房--云雾林】（外观）和【花穹】（外观）。特别安排登上【擎天大树】（含空中走廊）它是高度介于25至50米的树形结构。这些独具一格的垂直花园通过垂直展示的热带攀缘植物、附生植物和蕨类植物，制造令人惊叹的元素。这18个树形结构的建筑从热带雨林中的优势树种中汲取灵感。它们将成年树的外形和功能相结合，不仅可支持植物的生长，还能通过具备环境可持续性的特征模拟树木的生态功能。部分“树冠”安装了光伏电池，可吸收太阳能，供夜间照明，其他“树冠”则与植物冷室系统相连，作为排气口。它的“树冠”白天可以遮阴。入夜，五彩灯光和投射多媒体将这座垂直花园打扮得妖娆多姿。~~让您流连忘返！之后前往世外桃园—【圣淘沙公园】，明媚的阳光和辽阔的海洋，碧海晴天，椰海风韵，令人心旷神怡留恋往返。岛上游乐项目丰富多彩，集大自然、历史、娱乐于一体，一定让您流连忘返！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2020/02/01</w:t>
            </w:r>
          </w:p>
        </w:tc>
        <w:tc>
          <w:tcPr>
            <w:tcW w:w="2310" w:type="dxa"/>
            <w:gridSpan w:val="7"/>
          </w:tcPr>
          <w:p>
            <w:pPr/>
            <w:r>
              <w:rPr>
                <w:lang w:val="zh-CN"/>
                <w:rFonts w:ascii="Times New Roman" w:hAnsi="Times New Roman" w:cs="Times New Roman"/>
                <w:b/>
                <w:color w:val="000000"/>
              </w:rPr>
              <w:t>新加坡：花芭山马来西亚：马六甲三宝山荷兰红屋圣保罗教堂花花三轮车(巴士)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之后游览【花芭山】，是新加坡第二高点，是观赏城市的最佳地方。登临山顶举目四望，新加坡全景尽收眼底，还有一座小鱼尾狮可以让您一亲芳泽。随后乘车经过富有印度风情的【马里安曼兴都庙】（外景），中国城【牛车水】（外景），前往新加坡经济中心【乌节路】及【DFS免税店】进行购物大血拼，犹如新加坡的银座，属于新加坡的中央购物区。午餐后驱车进入马来西亚名城马六甲，【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后前往【三宝山】，又名中国山，太监郑和下西洋曾访问马六甲王朝。明朝皇帝将女儿汉丽宝公主许配给马六甲苏丹，苏丹便将三宝山赐给公主的五百随从定居。西南山麓有【三宝庙】，庙旁有一口井名【三宝井】，是马来西亚最古老的井，传说喝了此井的水，定会再回祖国故乡。之后前往【荷兰红屋】（外观）是东南亚最古老的荷兰建筑物。原为教堂，后改为市政府，现在是马六甲博物馆，藏有马来、葡萄牙、荷兰和英国的历史文物。【圣保罗教堂】（外观）原由葡萄牙军官建造，荷兰人将它变成了一个公墓。【葡萄牙堡古城门】是葡萄牙人在1511年为防止荷兰人入侵时所建的堡垒。经过战争及岁月摧残后，如今只剩下苔痕斑驳的城门而已。右边的炮楼还保存着，左边的炮楼却没有了；最后搭乘【复古花花人力三轮车巡游之旅】插满鲜花的人力三轮车，在徐徐微风中游走穿梭于古意盎然的街道，两旁古色古香的建筑物，彷佛回到时光隧道之中。备注：乘三轮车观光马六甲时建议支付2马币的小费给车夫（仅按当地风俗提醒客人，不做为旅行社要求的小费，没有强迫性质），晚上入住马六甲指定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2020/02/02</w:t>
            </w:r>
          </w:p>
        </w:tc>
        <w:tc>
          <w:tcPr>
            <w:tcW w:w="2310" w:type="dxa"/>
            <w:gridSpan w:val="7"/>
          </w:tcPr>
          <w:p>
            <w:pPr/>
            <w:r>
              <w:rPr>
                <w:lang w:val="zh-CN"/>
                <w:rFonts w:ascii="Times New Roman" w:hAnsi="Times New Roman" w:cs="Times New Roman"/>
                <w:b/>
                <w:color w:val="000000"/>
              </w:rPr>
              <w:t>马六甲  太子城  吉隆坡  苏丹皇宫  云顶高原(巴士)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离开马六甲前往吉隆坡游览首相府布特拉再也～未來【太子城】，在此您可感受到马來西亚政府能夠在森林开发区建出一座面积264平方公哩的未來马国行政电子中心,未來环保无烟城市以马來西亚首位总理的名字命名，满目竟是浓浓的綠意道路两旁被一棵棵大树包围着，排列成一条长长的林荫大道，這条全4.2公里的绿色大道，也正是举行国家庆典和阅兵游行的场地，相府佔地相当广大；包括【首相署】（外观）、【粉红水上清真寺】、【太子城广场】。午餐后参观【苏丹皇宫】（外观）这里本是一个中国富商的住宅，1926年出售改建成雪兰萌苏丹的王宫，现在是国王的王宫。马来西亚的国王是由各州世袭苏丹中选出的。皇家的花园会、授职仪式、招待会等都在这里举行。王宫不对外开放，游客只能欣赏它的外观。后乘坐高空缆车前往马来西亚旅游和避暑胜地【云顶高原】，位于鼓亨州西南吉保山脉中段东坡，吉隆坡东北约50公里处，建筑群位于海拔1772米的鸟鲁卡里山，是东南亚最大的高原避暑地,搭乘缆车直到云顶高原，自由逛云顶娱乐城市内、市外游乐场、美食街，云顶蒙迪卡罗赌场等等，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2020/02/03</w:t>
            </w:r>
          </w:p>
        </w:tc>
        <w:tc>
          <w:tcPr>
            <w:tcW w:w="2310" w:type="dxa"/>
            <w:gridSpan w:val="7"/>
          </w:tcPr>
          <w:p>
            <w:pPr/>
            <w:r>
              <w:rPr>
                <w:lang w:val="zh-CN"/>
                <w:rFonts w:ascii="Times New Roman" w:hAnsi="Times New Roman" w:cs="Times New Roman"/>
                <w:b/>
                <w:color w:val="000000"/>
              </w:rPr>
              <w:t>吉隆坡：国家英雄纪念碑清真寺独立广场高等法院大街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国家英雄纪念碑】，纪念碑上雕刻着在历次战争中为自由而战的马来西亚战士。随后前往之后游览【国家清真寺】吉隆坡市中心的国家清真寺，占地5.5公顷，于1965年建成，这是一组包括祈祷大厅、大尖塔、陵墓和办公大楼的建筑群，其造型和装饰与麦加的三大清真寺相仿，气势恢弘，是伊斯兰建筑艺术的杰出代表。后前往【独立广场】是每年庆祝国庆的地点。广场前身是球场，后重新铺过草地改成宏伟的广场。【高等法院大街】集中了伊斯兰代表性建筑，现在成了马来西亚旅游的新象征。之后返回酒店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2020/02/04</w:t>
            </w:r>
          </w:p>
        </w:tc>
        <w:tc>
          <w:tcPr>
            <w:tcW w:w="2310" w:type="dxa"/>
            <w:gridSpan w:val="7"/>
          </w:tcPr>
          <w:p>
            <w:pPr/>
            <w:r>
              <w:rPr>
                <w:lang w:val="zh-CN"/>
                <w:rFonts w:ascii="Times New Roman" w:hAnsi="Times New Roman" w:cs="Times New Roman"/>
                <w:b/>
                <w:color w:val="000000"/>
              </w:rPr>
              <w:t>吉隆坡双峰塔重庆  参考航班:D7806 (20:10-00:45+1) 或D7808 (18:55-23:30)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双峰塔】（外观）是马来西亚的标志性建筑。这幢外形独特的银色尖塔式建筑，号称世界最高的塔楼，是马来西亚经济蓬勃发展的象徵。于指定时间前往机场，在导游和领队的协助下办理离境手续，搭乘航班返回重庆结束愉快的旅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重庆→曼谷→新加坡/吉隆坡→重庆往返机票（含机场建设费、燃油附加税），当地空调旅游巴士（1人1正座）。住宿标准:行程所列酒店双人标准间（空调、彩电、独卫），两人一房/每人一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用餐标准:早餐9顿，为酒店房费包含，客人自愿不吃，费用不退。2-12岁儿童不占床，酒店不含早餐，用餐则自理。正餐14顿，餐标30元/人，十人一桌（七菜一汤或自助，茶水+水果），如不足十人，菜数和菜量将相应减少。景点门票:行程所含景点（区）门票为第一大门票。导游安排:全程中文领队服务，境外中文导游、司机服务。儿童标准:2岁（含）至12岁（不含）者，不占床位。12岁（含）及以上者视为成人，与成人享受同等标准,价格另议。备注：东南亚团队中18岁以下者不可（不含）参加指压按摩、SPA等项目。费用不含:1、境外导游及助手服务小费20元/人/天，共计120元/人。2、马来西亚酒店旅游税每间每晚10林吉特。3、本行程不含航空保险，如有需要可在机场送机人员处自行购买。4、护照费（客人可自行办理），泰国落地签证费及快速通关小费。5、旅游意外险（为了减少游客在旅途中因意外事故而产生的损失，我社诚挚的建议每位游客在出行前至少购买一份与行程匹配的“人身意外保险”，具体赔付标准参照保险公司的相关理赔条款。6、国际油价波动引起的“机票燃油附加税”的临时上涨费用，超重行李托运费。7、游客自行出发点至重庆江北机场的往返交通费用。8、旅游期间一切私人性质的消费，如：自由活动期间的交通餐费，洗衣/通讯/娱乐/私人购物等。9、、泰国为小费制国家，小费是对服务工作的肯定同时也是一种礼貌行为，请根据自身情况酌情给予相关服务人员小费，除行程中所列导游服务费外，日常行程中将会产生的小费如下（仅供参考，以实际情况为准）：A:按摩小费50铢/人、B:SPA小费100铢/人、C:房间小费20铢/房/间/晚、D:泛舟小费50铢/人、E:行李小费20铢/次(如有需要)、F:司机小费100铢/人、G：与人妖合影或拍照：约100泰铢/人/次、H:骑大象小费20-50铢/人、I：快艇小费：50-100铢/人、J：其他未注明的小费；10、因天气/海啸/地震/战争等人力不可抗因素而导致的额外费用。11、行程中未罗列的其他一切费用。参考酒店：曼谷（升级1晚）参考酒店：1.TheGreenViewHotelhttps://hotels.ctrip.com/international/9586601.html2.PrinceSuitesResidencehttps://hotels.ctrip.com/international/8371525.html3.RichmondStylishConventionhttps://hotels.ctrip.com/international/1739848.html4.THEBAZZARHotelhttps://www.booking.com/hotel/th/the-bazaar.zh-cn.html5.AuroraSuvarnabhumihttps://hotels.ctrip.com/international/39459792.html6.AvaniAtriumBangkokHotelhttps://www.booking.com/hotel/th/avani-atrium.zh-cn.html7.Floral·BlossomSathornHospitalityBangkokhttps://www.booking.com/hotel/th/floral-blossom-sathorn-bangkok.zh-cn.html曼谷参考酒店：1.INFINITYHOTELhttps://hotels.ctrip.com/international/15707409.html2.BARONRESIDENCEhttp://www.baronhotelsbangkok.com/residence3.ZIRCONHOTELhttps://hotels.ctrip.com/international/7365657.html芭提雅参考酒店：1.JOMTIENGARDENwww.jomtiengarden.com2.PrimaWongamatHotelWWW.BAYBEACHRESORTPATTAYA.COM3.SAISAWANBEACH www.saisawanbeach.com/home4.EASEJOMTIENwww.ease.jomtien.com新加坡（升级1晚）参考酒店：1.QualityHotelMarlow曼尔洛品质大酒店www.qualityhotel.com.sg2.HotelRoyal京华大酒店www.hotelroyal.com.sg3.VillageHotelChangi海逸酒店www.changivillage.com.sg4.VillageHotelBugis黄金酒店http://www.villagehotelbugis.com.sg5.VillageHotelAlbertCourt雅柏酒店http://www.albertcourt.com.sg6.ParcSovereignTyrwhitt威豪酒店德威www.parcsovereign.com/parc-sovereign-tyrwhitt7.ParcSovereignAlbertSt威豪酒店雅柏http://www.parcsovereign.com/parc-sovereign8.ParkAvenueChangi樟宜公园大道酒店http://www.parkavenuechangi.com/9.HotelBossSingapore新加坡庄家大酒店http://www.hotelboss.sg/10.D'Resort@DowntownEastSingaporehttps://hotels.ctrip.com/international/5296804.html马来西亚参考酒店：1.IbisCherasHotelhttp://www.ibis.com/index.shtml2.IbisStyleFraserBusinessParkhttp://www.ibis.com/gb/index.shtml3.IbisDamansaraHotelhttp://www.accorhotels.com/gb/index.shtml4.VivatelHotelhttp://www.vivatel.com.my/5.FuramaHotelBukitBintanghttp://www.furama.com/bukitbintang/6.KIPHotel(KIP酒店)http://www.kiphotel.com.my/7.D’MajesticHotelhttp://www.swissgarden.com/hotels/dhrkl/8.WPHOTEL(WP酒店)http://www.wphotel.com.my/9.GenoHotel,KLhttps://genohotel.com/geno/10.QliqHotel,KLhttp://www.qliqhotels.com/11.MercureSelayanghttp://www.mercure.com/gb/index.shtml12.CempakaApartmentHotelhttp://hotels.ctrip.com/international/5301751.html13.TheSuitelHotelhttp://hotels.ctrip.com/international/8170977.html14.CrystalCrownHotelhttp://www.crystalcrownkl.com/15.KingsGreenHotelhttp://www.kingsgreenhotel.com.my/16.BayouLagoonHotelhttp://www.bayoulagoon.com.my/17.TheStraitsHotelhttp://www.straitshotelsuites.com/melaka/18.ThePineshttp://www.thepines-melaka.com/19.Novotelhttp://www.accorhotels.com/gb/hotel-8155-novotel-melaka/index.shtml20.HallmarkCrownHotelhttp://www.hotelhallmark.com/hotel_crown.html?load=booking21.MitcHotelhttp://www.mitchotel.com/22.IbisHotelMelakahttp://hotels.ctrip.com/international/6404956.html23.FirstWorldHotelhttp://www.rwgenting.com/24.ResortHotelhttp://www.rwgenting.com/25.V8hotelhttp://v8hotel.com.my/26.BayuMarinaHotelhttp://www.bayumarinaresort.com/27.AmansariResidenceResorthttp://amansarihotels.com/28.BerjayaWaterfrontHotelhttp://www.berjayahotel.com/johorbahru/en/29.SwissInnHotelhttp://www.swissgarden.com/hotels/sijb/30.AmansariNusajayaHotelhttp://amansarihotels.com/1.重要提示：（1）护照原件（须有半年以上有效期及足够的空白页）；（2）半年内的近期2寸彩照3张（白底彩照）（3）因新加坡签证和马来西亚签证，需要提供机票行程单及酒店入住凭证才可正常办理签证，所以会提前购买往返机票以及订房，故无论签证是否通过，都将要收取全额团费。●由于新加坡签证为团体签，必须要求团队所有客人资料收齐后同时提交新加坡移民局（5个工作日出签），并且要求团队同进同出新加坡海关，因此有时新加坡签证会在客人出团后才会出签，如因游客自身原因或因提供材料存在问题不能及时办理护照或签证，以及被有关机关拒发签证或不准出入境的，或者因其他自身原因未能正常出行或影响行程的，相关责任和费用由游客自行承担。我司向新加坡移民局提供游客新加坡签证担保。如果游客滞留不归，我社将向组团社收取6000人民币/人的费用。敬请注意！●客人三个月内办理过马来西亚签证的，请提前告知组团社，如未如实告知，造成被有关机关拒发签证或不准出入境的，相关责任和费用由游客自行承担。（4）您要参加的此行程为散客拼团产品，各地拼团游客会因为地域价格差异、包机亏损甩尾、单位活动补贴、机票预订时间不同，市场不稳定因素造成旅游团费综费存在不一情况。您确认清楚了解您的旅游团费总额，承诺不会因为价格因素找纠纷，但会保留您因各种标准不达标的投诉权利。2.①行程所列机票系切位包销，全款已支付航空公司，旅游者一经确认后，不再作签改和退票处理，否则全部团费损失由旅游者自行承担,敬请谅解。②老人：泰国船家规定，60岁（含60岁）以上老年人，不允许坐船出海，旅行社不退还费用。③报名时，须提供护照扫描件或复印件（信息须清晰有效），以便我社出票报关等使用。④飞机票为我社代订，因航空公司航班调整、延误、取消等意外事件，造成行程延期或取消等，由客人自行承担，本社只协助安排。⑤行程内航班及时间仅作参考，飞机具体的抵离时间以实际的航班情况为准。3.以上行程安排由于航班、签证，当地交通、天气以及其他特殊原因，游客自愿同意旅行社在不减少旅游景点不降低服务标准的情况下，对行程景点的游览顺序及出团日期进行适当调整。4.行程内的交通、住宿、景点门票均为提前付费采购，若游客因自身原因而未能游览则视为自愿放弃，或者因天气等不可抗力因素造成游览项目调整或减少时，旅行社将不退还费用，敬请谅解。5.行程中如遇特殊原因而导致团队无法用餐时，领队会在抵达前提前告知游客，并按标准进行整团退餐，敬请谅解。6.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7.团队中出现的单男单女，一律按照拼房床方式处理（客人愿意补单房差的除外）。8.自由活动期间，不提供导游、领队、交通、用餐等服务，请根据自身状况及需求自行安排，注意保管好自己的证件及随身物品，贵重物品请妥善保管，注意人身安全。在此期间所发生的问题，由客人自行承担相关责任。9.旅途中游客不可擅自脱团，否则须支付离团费500元人民币/天/人，并请签离团书，脱团期间产生一切后果自负。10.如因政变、罢工、水灾地震、交通意外等不可抗力因素导致行程天数及交通、餐食、住宿等相关费用的增加，本社将依照《旅游法》相关规定、按实际发生的情况向游客收取费用。11.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游者报名参加本次旅游团队，为保障旅游者和旅游经营者的合法权益，本着自愿原则，根据《旅游法》第35条规定“旅行社安排具体购物场所和另付费项目需要应旅游者要求或经双方协商一致，且不影响其它旅游者的行程安排”，因此在本次旅行过程中，本旅行社应旅游者要求并经双方协商一致，由旅行社协助安排旅游者旅游购物场所项目和另付费项目，具体约定如下：一、旅行社在安排的旅游线路（行程）中，未指定或未含有具体购物场所项目及另行付费项目。二、本人自愿购买当地的特色产品（或纪念品）及游览行程中未安排的当地特色旅游项目，为丰富旅游活动，本人要求旅行社在不影响其他旅游者游览的前提下，协助安排购物及另付费游览项目。三、全程安排9个当地购物点，具体如下：购物点中文名购物点销售内容购物点停留时间皇家珠宝中心红、蓝、黄、白宝石、珍珠翡翠等约120分钟燕窝各种燕窝等约60分钟乳胶工厂天然橡胶、乳胶寝具等约120分钟海港百货各种珠宝、玉石、手表、包包、香水等约60分钟仁济堂药油用品、保健品等约60分钟珠宝/玉石各种珠宝，各种玉石等约120分钟乳胶乳胶床垫、枕头等约60分钟土产咖啡、燕窝、东革阿里等约60分钟巧克力/严选生活馆巧克力、老茶、厨具等用品约60分钟四、自费项目如下：序号項目節目內容簡介结算价1乐享游1.东方公主号东方公主号是集饮食和娱乐于一身的油轮，轮船上面有着泰国的绝色水晶晶----人妖表演。海上餐点火锅，酒水无限量供应，船上喝酒比赛，海上西施与您共舞共乐，让您回味无穷。2.富贵黄金屋泰国芭提雅第一首富花重金14亿泰铢建造的一个真正富丽堂皇的风水宝地私家庄园，观看纯金望海观音，金佛宝殿。体验真正有钱人的奢华生活，吸收首富财运。台湾连续剧“流星花园”曾经在这里面拍摄。3.歌舞豪华千人宴最后在富丽堂皇的餐厅里面观看泰国红艺人歌舞表演并享用泰式的自助餐菜式，享受国家级别的待遇。4.热带水果园+水果大餐泰国是一个热带水果的王国，出产的水果出口到世界的各个地。热带水果园里有众多水果观光，园内各式各样热带水果琳琅满目，让你流连忘返。水果升级除一般水果外另有榴莲，红毛丹。季节性水果，让君大饱眼福、大饱口福。5.欧式风月步行街漫游芭提雅最热闹的红灯区，感受灯红酒绿的欧式激情，露天酒吧店浪漫及狂欢感受气氛，芭提雅不夜城风情。880元五、本补充协议的签订及履行必须是应旅游者要求且经双方协商一致并确认的前提下执行。旅行社或其派出的带团导游不得有任何欺骗或强迫旅游者的行为，如有发生上述行为，旅游者有权拒绝前往并可向组团社投诉或依法向国家有关部门投诉。六、本协议约定下由旅行社协助安排旅游者前往的购物场所，旅行社承诺该购物场所售卖的产品不存在假冒伪劣商品。七、本协议约定下旅行社协助旅游者前往的购物场所，可能因地区差异、进货渠道等原因其售卖商品价格不能保证与市场同类产品价格一致，因此旅行社郑重提醒前往购物的旅游者谨慎选择购买。八、旅游者在购买产品时请主动提出索取发票和购物凭证。九、关于退换货1、本协议约定下旅游者在由旅行社协助安排旅游者前往的购物场所购买的商品，如旅游者在规定的时间内有退换货要求（请在购买时确认商品退换货要求和购物场所书面确认），需将在不损坏商品包装和质量的前提下，将商品和售卖单据交由旅行社，旅行社有协助旅游者退换货的责任和义务。2、退换货的处理按购物场所的要求进行处理，旅行社积极协助旅游者。十、特别申明：我本人（旅游者）已详细阅读了与旅行社签订的旅游合同、本协议书等全部材料，充分理解并清楚知晓此次旅游的全部相关信息，平等自愿按协议约定履行全部协议内容并确认。1、旅行社已就本次旅行的上述协议项目的特色，旅游者自愿参加购物和另行付费项目的相关权益及风险对我进行了全面的告知、提醒。经慎重考虑后，我自愿选择并参加上述协议项目，此协议的签订过程旅行社并无强迫。我承诺将按照导游提醒自愿参加上述项目，并理性消费，注意人身和财产安全。如因旅行社不能控制原因无法安排的，我对旅行社予以理解，双方互不追责。2、旅行社已提醒旅游者，应当注意旅游目的地的相关法律、法规和风俗习惯、宗教禁忌等，不参加依照中国法律不宜参加的活动等。购物项目均属个人消费行为，旅游者应谨慎购物；根据自身条件和能力选择另付费游览项目。3、本人同意导游和领队在不减少旅游景点数量的前提下，根据实际情况调整景点的游览顺序、安排进入购物点的顺序及其另行付费项目。4、我自愿同意此协议为旅游合同的补充协议，为旅游合同不可分割的组成部分，效力等同于旅游合同。旅游者保证以上内容是自己真实意愿的体现。如果旅游者为授权代表签字，授权代表有义务保证该协议书中所有游客均同意此协议书的内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旅游出行前准备事项：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②着装：准备衣物要根据旅游当地季节的变化而定，泰国属于热带季风气候，全年分为热、雨、旱三季，年平均气温24-30摄氏度；请携带泳装、防晒霜、墨镜等，以便你更好的与海水进行亲密接触。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很贵。特别注意携带一些必备及常用药品（如感冒药、止泻药、晕车药等），以免身体不适。2.游客责任提醒：①参加团体旅游的游客，所持护照均为自备因私护照，泰国为落地签证，出入境时如果遇到因护照引起的问题而影响行程，由此造成的一切损失（包括团费）及相关责任，均由客人自行负责。②非中国籍护照的游客，请自备返程签证及相关一切证件，如因证件或返程签证问题无法出入境，由客人自行负责。③团体旅游是集体活动，集体出发、集体返回，请遵守时间，以免耽搁其他团友，任何人不得逾期或滞留不归。④游客不得参观或参与违反我国法律法规、社会公德和旅游目的地的相关法律、风俗习惯、宗教禁忌的项目或活动。3.旅游安全注意事项：（1）【财产安全】：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2）【观光安全】：①在拍照、摄像时注意来往车辆和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部、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老人及体弱者请尽量靠船尾坐，防止因风浪带来的快艇颠簸而造成伤害。（3）【住宿安全】：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4）【购物安全】：购物要谨慎，注意识别假冒伪劣商品，想好再买，避免退货麻烦。试衣试鞋时，最好请同行团友陪同和看管物品。多数国家都有购物退税，具体退税标准请咨询购物商店，索取退税支票，正确填写，加盖海关章。（5）【人身安全】：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4.旅游目的地须知：1）新马海关只允许每人带1条烟（200支）、1瓶酒（1公升），超带者会被严罚，旅行社无法帮忙解决，切记！2）电源规格：220伏特，插座和国内不同，需要带转换器。3）新加坡和马来西亚跟中国的时间是一样的，没有时差。5.中国公民出国（境）旅游文明行为指南：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马洪</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陈停停</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2020/1/19 18:36:23</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