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创享旅游团队/散客确认书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留位预订</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张蜀蓉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18223556978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CQCXCJ-20200208-F</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【食尚玩家】曼谷芭堤雅5晚6天游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2020-02-13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5(4大1小)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2020-02-08 FD553 重庆→曼谷 19:55-22:20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2020-02-13 FD552 曼谷→重庆 14:25-18:5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1900.00</w:t>
            </w:r>
          </w:p>
        </w:tc>
        <w:tc>
          <w:tcPr>
            <w:tcW w:w="2310" w:type="dxa"/>
          </w:tcPr>
          <w:p>
            <w:pPr/>
            <w:r>
              <w:rPr>
                <w:lang w:val="zh-CN"/>
                <w:rFonts w:ascii="Times New Roman" w:hAnsi="Times New Roman" w:cs="Times New Roman"/>
                <w:sz w:val="20"/>
                <w:szCs w:val="20"/>
                <w:color w:val="000000"/>
              </w:rPr>
              <w:t>7600.00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1900.00</w:t>
            </w:r>
          </w:p>
        </w:tc>
        <w:tc>
          <w:tcPr>
            <w:tcW w:w="2310" w:type="dxa"/>
          </w:tcPr>
          <w:p>
            <w:pPr/>
            <w:r>
              <w:rPr>
                <w:lang w:val="zh-CN"/>
                <w:rFonts w:ascii="Times New Roman" w:hAnsi="Times New Roman" w:cs="Times New Roman"/>
                <w:sz w:val="20"/>
                <w:szCs w:val="20"/>
                <w:color w:val="000000"/>
              </w:rPr>
              <w:t>1900.00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总金额：玖仟伍佰元整</w:t>
            </w:r>
          </w:p>
        </w:tc>
        <w:tc>
          <w:tcPr>
            <w:tcW w:w="2310" w:type="dxa"/>
            <w:textDirection w:val="right"/>
            <w:gridSpan w:val="3"/>
          </w:tcPr>
          <w:p>
            <w:pPr/>
            <w:r>
              <w:rPr>
                <w:lang w:val="zh-CN"/>
                <w:rFonts w:ascii="Times New Roman" w:hAnsi="Times New Roman" w:cs="Times New Roman"/>
                <w:b/>
                <w:color w:val="FF0000"/>
              </w:rPr>
              <w:t>9500.00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中国银行重庆市分行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111604876313</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630386720000015</w:t>
            </w:r>
          </w:p>
        </w:tc>
      </w:tr>
      <w:tr>
        <w:tc>
          <w:tcPr>
            <w:tcW w:w="2310" w:type="dxa"/>
            <w:gridSpan w:val="3"/>
          </w:tcPr>
          <w:p>
            <w:pPr/>
            <w:r>
              <w:rPr>
                <w:lang w:val="zh-CN"/>
                <w:rFonts w:ascii="Times New Roman" w:hAnsi="Times New Roman" w:cs="Times New Roman"/>
                <w:sz w:val="20"/>
                <w:szCs w:val="20"/>
                <w:color w:val="000000"/>
              </w:rPr>
              <w:t>中国工商银行股份有限公司重庆较场口支行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3100 0215 1920 0036 509</w:t>
            </w:r>
          </w:p>
        </w:tc>
      </w:tr>
      <w:tr>
        <w:tc>
          <w:tcPr>
            <w:tcW w:w="2310" w:type="dxa"/>
            <w:gridSpan w:val="3"/>
          </w:tcPr>
          <w:p>
            <w:pPr/>
            <w:r>
              <w:rPr>
                <w:lang w:val="zh-CN"/>
                <w:rFonts w:ascii="Times New Roman" w:hAnsi="Times New Roman" w:cs="Times New Roman"/>
                <w:sz w:val="20"/>
                <w:szCs w:val="20"/>
                <w:color w:val="000000"/>
              </w:rPr>
              <w:t>中国建设银行观音桥支行建北分理处</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6227 0037 6207 0008 730</w:t>
            </w:r>
          </w:p>
        </w:tc>
      </w:tr>
      <w:tr>
        <w:tc>
          <w:tcPr>
            <w:tcW w:w="2310" w:type="dxa"/>
            <w:gridSpan w:val="3"/>
          </w:tcPr>
          <w:p>
            <w:pPr/>
            <w:r>
              <w:rPr>
                <w:lang w:val="zh-CN"/>
                <w:rFonts w:ascii="Times New Roman" w:hAnsi="Times New Roman" w:cs="Times New Roman"/>
                <w:sz w:val="20"/>
                <w:szCs w:val="20"/>
                <w:color w:val="000000"/>
              </w:rPr>
              <w:t>中国工商银行重庆分行建北支行营业部</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6222 0231 0000 9952 933</w:t>
            </w:r>
          </w:p>
        </w:tc>
      </w:tr>
      <w:tr>
        <w:tc>
          <w:tcPr>
            <w:tcW w:w="2310" w:type="dxa"/>
            <w:gridSpan w:val="3"/>
          </w:tcPr>
          <w:p>
            <w:pPr/>
            <w:r>
              <w:rPr>
                <w:lang w:val="zh-CN"/>
                <w:rFonts w:ascii="Times New Roman" w:hAnsi="Times New Roman" w:cs="Times New Roman"/>
                <w:sz w:val="20"/>
                <w:szCs w:val="20"/>
                <w:color w:val="000000"/>
              </w:rPr>
              <w:t>中国农业银行重庆长江路支行</w:t>
            </w:r>
          </w:p>
        </w:tc>
        <w:tc>
          <w:tcPr>
            <w:tcW w:w="2310" w:type="dxa"/>
            <w:gridSpan w:val="2"/>
          </w:tcPr>
          <w:p>
            <w:pPr/>
            <w:r>
              <w:rPr>
                <w:lang w:val="zh-CN"/>
                <w:rFonts w:ascii="Times New Roman" w:hAnsi="Times New Roman" w:cs="Times New Roman"/>
                <w:sz w:val="20"/>
                <w:szCs w:val="20"/>
                <w:color w:val="000000"/>
              </w:rPr>
              <w:t>秦贞于</w:t>
            </w:r>
          </w:p>
        </w:tc>
        <w:tc>
          <w:tcPr>
            <w:tcW w:w="2310" w:type="dxa"/>
            <w:gridSpan w:val="3"/>
          </w:tcPr>
          <w:p>
            <w:pPr/>
            <w:r>
              <w:rPr>
                <w:lang w:val="zh-CN"/>
                <w:rFonts w:ascii="Times New Roman" w:hAnsi="Times New Roman" w:cs="Times New Roman"/>
                <w:sz w:val="20"/>
                <w:szCs w:val="20"/>
                <w:color w:val="000000"/>
              </w:rPr>
              <w:t>622848 0470 25723 5312</w:t>
            </w:r>
          </w:p>
        </w:tc>
      </w:tr>
      <w:tr>
        <w:tc>
          <w:tcPr>
            <w:tcW w:w="2310" w:type="dxa"/>
            <w:gridSpan w:val="3"/>
          </w:tcPr>
          <w:p>
            <w:pPr/>
            <w:r>
              <w:rPr>
                <w:lang w:val="zh-CN"/>
                <w:rFonts w:ascii="Times New Roman" w:hAnsi="Times New Roman" w:cs="Times New Roman"/>
                <w:sz w:val="20"/>
                <w:szCs w:val="20"/>
                <w:color w:val="000000"/>
              </w:rPr>
              <w:t>工商银行  （外地汇款）</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6222 1086 5810 4658</w:t>
            </w:r>
          </w:p>
        </w:tc>
      </w:tr>
      <w:tr>
        <w:tc>
          <w:tcPr>
            <w:tcW w:w="2310" w:type="dxa"/>
            <w:gridSpan w:val="3"/>
          </w:tcPr>
          <w:p>
            <w:pPr/>
            <w:r>
              <w:rPr>
                <w:lang w:val="zh-CN"/>
                <w:rFonts w:ascii="Times New Roman" w:hAnsi="Times New Roman" w:cs="Times New Roman"/>
                <w:sz w:val="20"/>
                <w:szCs w:val="20"/>
                <w:color w:val="000000"/>
              </w:rPr>
              <w:t>重庆渝北银座村镇银</w:t>
            </w:r>
          </w:p>
        </w:tc>
        <w:tc>
          <w:tcPr>
            <w:tcW w:w="2310" w:type="dxa"/>
            <w:gridSpan w:val="2"/>
          </w:tcPr>
          <w:p>
            <w:pPr/>
            <w:r>
              <w:rPr>
                <w:lang w:val="zh-CN"/>
                <w:rFonts w:ascii="Times New Roman" w:hAnsi="Times New Roman" w:cs="Times New Roman"/>
                <w:sz w:val="20"/>
                <w:szCs w:val="20"/>
                <w:color w:val="000000"/>
              </w:rPr>
              <w:t>周怡</w:t>
            </w:r>
          </w:p>
        </w:tc>
        <w:tc>
          <w:tcPr>
            <w:tcW w:w="2310" w:type="dxa"/>
            <w:gridSpan w:val="3"/>
          </w:tcPr>
          <w:p>
            <w:pPr/>
            <w:r>
              <w:rPr>
                <w:lang w:val="zh-CN"/>
                <w:rFonts w:ascii="Times New Roman" w:hAnsi="Times New Roman" w:cs="Times New Roman"/>
                <w:sz w:val="20"/>
                <w:szCs w:val="20"/>
                <w:color w:val="000000"/>
              </w:rPr>
              <w:t>6213471061000374020</w:t>
            </w:r>
          </w:p>
        </w:tc>
      </w:tr>
      <w:tr>
        <w:tc>
          <w:tcPr>
            <w:tcW w:w="2310" w:type="dxa"/>
            <w:gridSpan w:val="3"/>
          </w:tcPr>
          <w:p>
            <w:pPr/>
            <w:r>
              <w:rPr>
                <w:lang w:val="zh-CN"/>
                <w:rFonts w:ascii="Times New Roman" w:hAnsi="Times New Roman" w:cs="Times New Roman"/>
                <w:sz w:val="20"/>
                <w:szCs w:val="20"/>
                <w:color w:val="000000"/>
              </w:rPr>
              <w:t>重庆光大银行渝中支行</w:t>
            </w:r>
          </w:p>
        </w:tc>
        <w:tc>
          <w:tcPr>
            <w:tcW w:w="2310" w:type="dxa"/>
            <w:gridSpan w:val="2"/>
          </w:tcPr>
          <w:p>
            <w:pPr/>
            <w:r>
              <w:rPr>
                <w:lang w:val="zh-CN"/>
                <w:rFonts w:ascii="Times New Roman" w:hAnsi="Times New Roman" w:cs="Times New Roman"/>
                <w:sz w:val="20"/>
                <w:szCs w:val="20"/>
                <w:color w:val="000000"/>
              </w:rPr>
              <w:t>重庆创享国际旅行社有限公司</w:t>
            </w:r>
          </w:p>
        </w:tc>
        <w:tc>
          <w:tcPr>
            <w:tcW w:w="2310" w:type="dxa"/>
            <w:gridSpan w:val="3"/>
          </w:tcPr>
          <w:p>
            <w:pPr/>
            <w:r>
              <w:rPr>
                <w:lang w:val="zh-CN"/>
                <w:rFonts w:ascii="Times New Roman" w:hAnsi="Times New Roman" w:cs="Times New Roman"/>
                <w:sz w:val="20"/>
                <w:szCs w:val="20"/>
                <w:color w:val="000000"/>
              </w:rPr>
              <w:t>39440188000176501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2020/02/08</w:t>
            </w:r>
          </w:p>
        </w:tc>
        <w:tc>
          <w:tcPr>
            <w:tcW w:w="2310" w:type="dxa"/>
            <w:gridSpan w:val="7"/>
          </w:tcPr>
          <w:p>
            <w:pPr/>
            <w:r>
              <w:rPr>
                <w:lang w:val="zh-CN"/>
                <w:rFonts w:ascii="Times New Roman" w:hAnsi="Times New Roman" w:cs="Times New Roman"/>
                <w:b/>
                <w:color w:val="000000"/>
              </w:rPr>
              <w:t>重庆-曼谷(飞机)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FD557（11:20-13:20）或FD553(19：55-22：20)请各位贵宾于指定时间（航班起飞前3小时）自行前往重庆江北机场国际出发大厅集合，在我社专业中文领队（待告）的协助下办理登机事宜，然后乘坐飞机前往被称为“天使之城、佛庙之都”的泰国首都【曼谷】，抵达后专车接往酒店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早餐：不含；午餐：不含；晚餐：不含；住宿：曼谷指定酒店</w:t>
            </w:r>
          </w:p>
        </w:tc>
      </w:tr>
      <w:tr>
        <w:tc>
          <w:tcPr>
            <w:tcW w:w="2310" w:type="dxa"/>
            <w:vAlign w:val="center"/>
            <w:vMerge w:val="restart"/>
          </w:tcPr>
          <w:p>
            <w:pPr/>
            <w:r>
              <w:rPr>
                <w:lang w:val="zh-CN"/>
                <w:rFonts w:ascii="Times New Roman" w:hAnsi="Times New Roman" w:cs="Times New Roman"/>
                <w:sz w:val="20"/>
                <w:szCs w:val="20"/>
                <w:color w:val="000000"/>
              </w:rPr>
              <w:t>2020/02/09</w:t>
            </w:r>
          </w:p>
        </w:tc>
        <w:tc>
          <w:tcPr>
            <w:tcW w:w="2310" w:type="dxa"/>
            <w:gridSpan w:val="7"/>
          </w:tcPr>
          <w:p>
            <w:pPr/>
            <w:r>
              <w:rPr>
                <w:lang w:val="zh-CN"/>
                <w:rFonts w:ascii="Times New Roman" w:hAnsi="Times New Roman" w:cs="Times New Roman"/>
                <w:b/>
                <w:color w:val="000000"/>
              </w:rPr>
              <w:t xml:space="preserve">大皇宫+玉佛寺  泰式长尾船游湄南河  嘟嘟车游唐人街  泰式古法按摩  顶级人妖表演SHOW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泰国金碧辉煌的【拉玛王朝大皇宫】，这里相当于中国的故宫，是各国游客到了曼谷的必去之地，汇集了泰国民族建筑、绘画、雕刻和装潢艺术的精粹；而后参观位于皇宫之侧、供奉着泰国第一国宝“翡翠玉佛”的【玉佛寺】（共约90分钟）。随后乘【泰式长尾船】畅游东方威尼斯之【湄南河】（大约20分钟）；从河城码头一号口出发，沿途经过湄南河上经典的风光带。著名的拉玛一世大桥、郑王庙、大皇宫等曼谷地标在湄南河粼粼波光的映衬下，显得格外迷人。随后【嘟嘟车游唐人街】（大约30分钟），泰国最具代表性的交通工具，从某种意义上讲也是曼谷的一个象征，穿梭在唐人街街头感受不一样的拉风。下午特别安排享受泰国地道特色的【泰国古法按摩】（大约60分钟），解除一天的疲乏和辛苦（温馨提示：18岁以下未成年人不安排此按摩项目）；然后前往观看享誉全球的【泰国人妖歌舞表演】（大约60分钟），泰国人妖在历史上就是专为歌舞而培训，至今泰国人妖歌舞秀已到达巅峰，雌雄难辨、精彩纷呈的演出保证让您终身难忘！表演结束后还可以近距离欣赏人妖，跟她们比一比到底是我美还是你艳，拍照留念可千万不能忘了哟！最后返回酒店休息。特别备注:大皇宫、玉佛寺如遇政策性关闭则改为改为古城72府。【古城七十二府全景】游览时间大约（60分钟）是全世界最大的户外博物馆,占地面积约200英亩,与泰国国土的形状相同。这里是泰国名胜的聚集地,您可以在这里找到泰国各地最著名的建筑及山水美景【泰北清迈民庄】【大城王朝遗址】【世界文化遗产柏威夏古寺】【暹罗皇家船队】......从最古老的名胜到现代化独具匠心的泰文化,用几乎同比例拉近距离的方式巧妙结合呈现在这里,真可谓实景艺术大拼盘。</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早餐：含；午餐：含；晚餐：含；住宿：曼谷指定酒店</w:t>
            </w:r>
          </w:p>
        </w:tc>
      </w:tr>
      <w:tr>
        <w:tc>
          <w:tcPr>
            <w:tcW w:w="2310" w:type="dxa"/>
            <w:vAlign w:val="center"/>
            <w:vMerge w:val="restart"/>
          </w:tcPr>
          <w:p>
            <w:pPr/>
            <w:r>
              <w:rPr>
                <w:lang w:val="zh-CN"/>
                <w:rFonts w:ascii="Times New Roman" w:hAnsi="Times New Roman" w:cs="Times New Roman"/>
                <w:sz w:val="20"/>
                <w:szCs w:val="20"/>
                <w:color w:val="000000"/>
              </w:rPr>
              <w:t>2020/02/10</w:t>
            </w:r>
          </w:p>
        </w:tc>
        <w:tc>
          <w:tcPr>
            <w:tcW w:w="2310" w:type="dxa"/>
            <w:gridSpan w:val="7"/>
          </w:tcPr>
          <w:p>
            <w:pPr/>
            <w:r>
              <w:rPr>
                <w:lang w:val="zh-CN"/>
                <w:rFonts w:ascii="Times New Roman" w:hAnsi="Times New Roman" w:cs="Times New Roman"/>
                <w:b/>
                <w:color w:val="000000"/>
              </w:rPr>
              <w:t>杜拉拉水上市场清迈小镇-骑大象+坐马车+钓鳄鱼东方公主号风月步行街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导游安排，指定时间乘车前往芭堤雅，前往电影的取景地之一【杜拉拉水上市场】，感受水上居民的市井生活，这里又称四合镇水乡，独具当地的特色，这里生活的是水上民居，他们居住在泰式木屋中，河道弯曲，感受曲折中的无限魅力。在河岸的边上，会看到很多的设铺摆摊、这就是我们所称为的位于水道中央的水上市场，这里琳琅满目，可观赏到泰国传统的的民族舞，婉转的笙歌，独特的场景，在这里还有很多小吃色泽可谓五颜六色，绚丽缤纷，老板的叫卖声吸引顾客前去。稍后前往【清迈小镇】（大约40分钟），让你有种到了泰国北部的错觉！集泰北建筑风格、少数民族、民俗风光于一体的综合性旅游景区。景区中有各种旅游项目。走进小镇只见街道两旁都是稻草屋顶的木板房，小街上空悬挂着五颜六色的装饰伞，一不留神，仿佛穿越到了泰国北部。在这里你可以【骑大象】【坐马车】【钓鳄鱼】，实际体验泰北文化。晚餐后前往【东方公主号或暹罗公主号】：闻名遐迩的并不是暹罗湾夜景,而是东方公主们的美丽。泰国人妖的精湛歌舞表演令很多人对台上的丽人们雌雄难辨,在船上我们将与她们近距离接触。为您端菜、与您共舞的都是盛装美丽的人妖公主,在此提醒大家,若被人妖“骚扰”,最好定气凝神、泰然处之,请不要向旅行社投诉！（游览时间不低于50分钟）(备注：东方公主号和暹罗公主号费用一样，以最终导游预定为准)。后经过【风月步行街】风月步行街是芭提雅最著名的步行街，集吃喝玩乐于一身，同时也是西方人的天堂。两旁有各式小吃、酒吧，酒吧中经常有音乐表演、泰拳表演，街上熙熙攘攘，是游客必经之地。白天相对冷清，一到晚上灯火通明，夜夜笙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早餐：含；午餐：含；晚餐：含；住宿：芭提雅指定酒店 </w:t>
            </w:r>
          </w:p>
        </w:tc>
      </w:tr>
      <w:tr>
        <w:tc>
          <w:tcPr>
            <w:tcW w:w="2310" w:type="dxa"/>
            <w:vAlign w:val="center"/>
            <w:vMerge w:val="restart"/>
          </w:tcPr>
          <w:p>
            <w:pPr/>
            <w:r>
              <w:rPr>
                <w:lang w:val="zh-CN"/>
                <w:rFonts w:ascii="Times New Roman" w:hAnsi="Times New Roman" w:cs="Times New Roman"/>
                <w:sz w:val="20"/>
                <w:szCs w:val="20"/>
                <w:color w:val="000000"/>
              </w:rPr>
              <w:t>2020/02/11</w:t>
            </w:r>
          </w:p>
        </w:tc>
        <w:tc>
          <w:tcPr>
            <w:tcW w:w="2310" w:type="dxa"/>
            <w:gridSpan w:val="7"/>
          </w:tcPr>
          <w:p>
            <w:pPr/>
            <w:r>
              <w:rPr>
                <w:lang w:val="zh-CN"/>
                <w:rFonts w:ascii="Times New Roman" w:hAnsi="Times New Roman" w:cs="Times New Roman"/>
                <w:b/>
                <w:color w:val="000000"/>
              </w:rPr>
              <w:t>出海醉美沙美岛自由活动  56层观光塔  富贵黄金屋  泰拳比赛</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泰国着名的【沙美岛国家公园自由活动】展开我们精彩的沙美岛旅程，您可在此享受日光浴更可投身大海享受悠闲的海岛风光，放松自我、尽享这世外桃源带给您的温馨假期！沙美拥有漂亮的沙滩海岸线，属典型的渡假胜地，被指定为国家自然保护区的沙美岛国家公园，面粉一样细嫩的海沙，铺成又长又宽的沙滩，为太平洋镶上了金色的花边。（自由活动期间不含车、导游、餐，请确保自身安全及财产安全，出现任何问题与本社无关。）后乘车前往【56层观光塔】是芭堤雅标志性最高的建筑，塔高180米。芭堤雅360度的美丽风光尽收眼底。面朝暹罗湾,是芭堤雅观景的最佳去处，上去后，每人可以免费供应一杯咖啡，可以欣赏芭提雅四周景色。随后参观【富贵黄金屋】（大约50分钟），这里的欧式建筑金碧辉煌，充满浓郁的艺术情调，也是台湾连续剧流星花园外景拍摄基地；整座建筑耗资巨大，格调气派非凡，也可以称得上是间艺术宫殿。接着观看嗨爆全场的【泰拳比赛】（不低于40分钟）观看到拳手们真打真战场上挥洒汗水的一面，刺激而紧张。后入住酒店休息。特别备注①：海上活动，安全第一，务必穿救生衣。特别备注②：岛上提供丰富多彩的付费水上活动（请勿轻信非旅行社人员的推销，以免上当受骗，若要参加可到旅行社指定的船家处报名）。</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早餐：含；午餐：不含；晚餐：含；住宿：芭提雅指定酒店 </w:t>
            </w:r>
          </w:p>
        </w:tc>
      </w:tr>
      <w:tr>
        <w:tc>
          <w:tcPr>
            <w:tcW w:w="2310" w:type="dxa"/>
            <w:vAlign w:val="center"/>
            <w:vMerge w:val="restart"/>
          </w:tcPr>
          <w:p>
            <w:pPr/>
            <w:r>
              <w:rPr>
                <w:lang w:val="zh-CN"/>
                <w:rFonts w:ascii="Times New Roman" w:hAnsi="Times New Roman" w:cs="Times New Roman"/>
                <w:sz w:val="20"/>
                <w:szCs w:val="20"/>
                <w:color w:val="000000"/>
              </w:rPr>
              <w:t>2020/02/12</w:t>
            </w:r>
          </w:p>
        </w:tc>
        <w:tc>
          <w:tcPr>
            <w:tcW w:w="2310" w:type="dxa"/>
            <w:gridSpan w:val="7"/>
          </w:tcPr>
          <w:p>
            <w:pPr/>
            <w:r>
              <w:rPr>
                <w:lang w:val="zh-CN"/>
                <w:rFonts w:ascii="Times New Roman" w:hAnsi="Times New Roman" w:cs="Times New Roman"/>
                <w:b/>
                <w:color w:val="000000"/>
              </w:rPr>
              <w:t xml:space="preserve">四面佛  人蛇大战  KING POWER国际免税店  拉差达大街火车夜市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泰国著名的【小乘佛教寺庙】（大约45分钟），膜拜全东南亚最负盛名、最灵验的四面佛，人称“有求必应佛”，无论是求财、事业、健康、婚姻都很灵验，也是港台明星们的最爱！然后返回曼谷，观看驯蛇人与众蛇宝们亲密接触，您要足够勇敢，可以与蟒蛇亲密接触，也可以拍一张在泰国与蟒蛇亲密接触的照片留念。后乘车前往【KINGPOWER国际免税店】，选择自己心仪的世界名牌化妆品、手表、包包等一线品牌，您可以在此享受到高大上购物的乐趣；夜幕降临前，前往火车夜市【拉差达大街夜市】，置身其中，美轮美奂，感受曼谷当地人心目中数一数二的夜市。这里美食、手工艺品、服饰应有尽有，还有多间的露天酒吧!現場也有些LIVEBAND的表演，可说是相當的热闹!在这里，你可以自由逛吃狂吃，像个当地人一样，感受一下接地气的美食，后入住曼谷指定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早餐：含；午餐：含；晚餐：含；住宿：曼谷指定酒店</w:t>
            </w:r>
          </w:p>
        </w:tc>
      </w:tr>
      <w:tr>
        <w:tc>
          <w:tcPr>
            <w:tcW w:w="2310" w:type="dxa"/>
            <w:vAlign w:val="center"/>
            <w:vMerge w:val="restart"/>
          </w:tcPr>
          <w:p>
            <w:pPr/>
            <w:r>
              <w:rPr>
                <w:lang w:val="zh-CN"/>
                <w:rFonts w:ascii="Times New Roman" w:hAnsi="Times New Roman" w:cs="Times New Roman"/>
                <w:sz w:val="20"/>
                <w:szCs w:val="20"/>
                <w:color w:val="000000"/>
              </w:rPr>
              <w:t>2020/02/13</w:t>
            </w:r>
          </w:p>
        </w:tc>
        <w:tc>
          <w:tcPr>
            <w:tcW w:w="2310" w:type="dxa"/>
            <w:gridSpan w:val="7"/>
          </w:tcPr>
          <w:p>
            <w:pPr/>
            <w:r>
              <w:rPr>
                <w:lang w:val="zh-CN"/>
                <w:rFonts w:ascii="Times New Roman" w:hAnsi="Times New Roman" w:cs="Times New Roman"/>
                <w:b/>
                <w:color w:val="000000"/>
              </w:rPr>
              <w:t xml:space="preserve">曼谷-重庆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FD556(06：15-10：10)或FD552(14：25-18：50)早餐后，根据领队和导游的安排尽情享受与曼谷再见前的美好时光，指定时间乘车前往曼谷机场，在领队和导游的协助下办理离境手续，最后乘坐飞机返回重庆（抵达重庆江北国际机场），结束愉快的曼芭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 ①签证所须资料：护照原件（有效期6个月以上、有足够空白页），一张2寸白底免冠彩照（近半年内），机场交领队。②本行程不含航空保险，如有需要可在机场送机人员处自行购买。2. ①行程所列机票系切位包销，全款已支付航空公司，旅游者一经确认后，不再作改签和退票处理，否则全部团费损失由旅游者自行承担,敬请谅解。②老人：泰国船家规定，60岁（含60岁）以上老年人，不允许坐船出海，旅行社不退还费用。③报名时，须提供护照扫描件或复印件（信息须清晰有效），以便我社出票报关等使用。④飞机票为我社代订，因航空公司航班调整、延误、取消等意外事件，造成行程延期或取消等，由客人自行承担，本社只协助安排。⑤行程内航班及时间仅作参考，飞机具体的抵离时间以实际的航班情况为准。3. 以上行程安排由于航班、签证，当地交通、天气以及其他特殊原因，游客自愿同意旅行社在不减少旅游景点不降低服务标准的情况下，对行程景点的游览顺序及出团日期进行适当调整。4.行程内的交通、住宿、景点门票均为提前付费采购，若游客因自身原因而未能游览则视为自愿放弃，或者因天气等不可抗力因素造成游览项目调整或减少时，旅行社将不退还费用，敬请谅解。5.行程中如遇特殊原因而导致团队无法用餐时，领队会在抵达前提前告知游客，并按标准进行整团退餐，敬请谅解。6.东南亚酒店没有官方公布的星级标准，没有挂星制度。行程中所标明的星级标准为当地行业参考标准，普遍比国内略差一点，任何非官方网站所公布的酒店星级档次，是属于该网站自己的评估标准，不代表该酒店真实档次或星级。7.团队中出现的单男单女，一律按照拼房床方式处理（客人愿意补单房差的除外）。8.自由活动期间，不提供导游、领队、交通、用餐等服务，请根据自身状况及需求自行安排，注意保管好自己的证件及随身物品，贵重物品请妥善保管，注意人身安全。在此期间所发生的问题，由客人自行承担相关责任。9.旅途中游客不可擅自脱团，否则须支付离团费1000元人民币/天/人，并请签离团书，脱团期间产生一切后果自负。10.如因政变、罢工、水灾地震、交通意外等不可抗力因素导致行程天数及交通、餐食、住宿等相关费用的增加，本社将依照《旅游法》相关规定、按实际发生的情况向游客收取费用。11.因服务能力有限：①本团报名年龄为75岁以下，65-75岁者须有60岁以下的健康亲属陪同；②患有心脏病.高血压.糖尿病.冠心病、及孕妇等，建议不参加本团，如强烈要求参团，必须有年轻健康的亲属陪同；③癌症、癫痫/小儿麻痹症，及有听力视力障碍者，身体残疾行动不便者，有精神疾病无行为控制能力者，恕不能参团，望请谅解。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张蜀蓉</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2020/1/17 14:32:45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