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昆明春雪国际旅行社有限公司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王颖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13669794068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18306061532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CQCXCJ-20251122-A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【切位+落地散】6天游（HU423-HU424）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2025-11-22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2025-11-27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1480.00</w:t>
            </w:r>
          </w:p>
        </w:tc>
        <w:tc>
          <w:tcPr>
            <w:tcW w:w="2310" w:type="dxa"/>
          </w:tcPr>
          <w:p>
            <w:pPr/>
            <w:r>
              <w:rPr>
                <w:lang w:val="zh-CN"/>
                <w:rFonts w:ascii="Times New Roman" w:hAnsi="Times New Roman" w:cs="Times New Roman"/>
                <w:sz w:val="20"/>
                <w:szCs w:val="20"/>
                <w:color w:val="000000"/>
              </w:rPr>
              <w:t>2960.00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总金额：贰仟玖佰陆拾元整</w:t>
            </w:r>
          </w:p>
        </w:tc>
        <w:tc>
          <w:tcPr>
            <w:tcW w:w="2310" w:type="dxa"/>
            <w:textDirection w:val="right"/>
            <w:gridSpan w:val="3"/>
          </w:tcPr>
          <w:p>
            <w:pPr/>
            <w:r>
              <w:rPr>
                <w:lang w:val="zh-CN"/>
                <w:rFonts w:ascii="Times New Roman" w:hAnsi="Times New Roman" w:cs="Times New Roman"/>
                <w:b/>
                <w:color w:val="FF0000"/>
              </w:rPr>
              <w:t>2960.00</w:t>
            </w:r>
          </w:p>
        </w:tc>
      </w:tr>
      <w:tr>
        <w:tc>
          <w:tcPr>
            <w:tcW w:w="2310" w:type="dxa"/>
            <w:gridSpan w:val="8"/>
          </w:tcPr>
          <w:p>
            <w:pPr/>
            <w:r>
              <w:rPr>
                <w:lang w:val="zh-CN"/>
                <w:rFonts w:ascii="Times New Roman" w:hAnsi="Times New Roman" w:cs="Times New Roman"/>
                <w:sz w:val="20"/>
                <w:szCs w:val="20"/>
                <w:color w:val="000000"/>
              </w:rPr>
              <w:t>单机票，张雪蕻2人</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王颖</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2025/11/15 23:12:21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