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随程国际旅游集团有限公司四川第一分公司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杜总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17778559998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海翔</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18875256035</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CQCXCJ-20260226-A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【自组团-享趣泰国】6天游（HU423-HU424）</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2026-02-26 HU423 重庆→曼谷 08:15-10:35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2026-03-03 HU424 曼谷→重庆 11:45-16:0</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1300.00</w:t>
            </w:r>
          </w:p>
        </w:tc>
        <w:tc>
          <w:tcPr>
            <w:tcW w:w="2310" w:type="dxa"/>
          </w:tcPr>
          <w:p>
            <w:pPr/>
            <w:r>
              <w:rPr>
                <w:lang w:val="zh-CN"/>
                <w:rFonts w:ascii="Times New Roman" w:hAnsi="Times New Roman" w:cs="Times New Roman"/>
                <w:sz w:val="20"/>
                <w:szCs w:val="20"/>
                <w:color w:val="000000"/>
              </w:rPr>
              <w:t>5200.00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总金额：伍仟贰佰元整</w:t>
            </w:r>
          </w:p>
        </w:tc>
        <w:tc>
          <w:tcPr>
            <w:tcW w:w="2310" w:type="dxa"/>
            <w:textDirection w:val="right"/>
            <w:gridSpan w:val="3"/>
          </w:tcPr>
          <w:p>
            <w:pPr/>
            <w:r>
              <w:rPr>
                <w:lang w:val="zh-CN"/>
                <w:rFonts w:ascii="Times New Roman" w:hAnsi="Times New Roman" w:cs="Times New Roman"/>
                <w:b/>
                <w:color w:val="FF0000"/>
              </w:rPr>
              <w:t>5200.00</w:t>
            </w:r>
          </w:p>
        </w:tc>
      </w:tr>
      <w:tr>
        <w:tc>
          <w:tcPr>
            <w:tcW w:w="2310" w:type="dxa"/>
            <w:gridSpan w:val="8"/>
          </w:tcPr>
          <w:p>
            <w:pPr/>
            <w:r>
              <w:rPr>
                <w:lang w:val="zh-CN"/>
                <w:rFonts w:ascii="Times New Roman" w:hAnsi="Times New Roman" w:cs="Times New Roman"/>
                <w:sz w:val="20"/>
                <w:szCs w:val="20"/>
                <w:color w:val="000000"/>
              </w:rPr>
              <w:t>留4，单机票</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杜总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海翔</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2026/2/24 18:27:22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