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无锡畅乐旅行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沈漪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15852765358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SY-20250102-S01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BA-纯乐双岛5日游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2025-01-02 MU2893 常州→博鳌 14:50-17:50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2025-01-06 MU2894 博鳌→常州 18:40-21:5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1、吴惠红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320222197303195745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13915298111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2、诸丹玲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320203196308161540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18061979639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3960.00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总金额：叁仟玖佰陆拾元整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3960.00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乘飞机抵达博鳌，接机员提前在此恭候您到来，沿途您可欣赏到美丽的景色。安排入住酒店休息，准备迎接第二天的快乐之旅！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常州-博鳌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早餐：不含；午餐：不含；晚餐：不含；住宿：团队标间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 琼海&gt;&gt;&gt;三亚 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【西岛】（过渡及游览不少于120分钟）【南湾猴岛】（游览不少于120分钟，含索道）【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早餐：含；午餐：不含；晚餐：含；住宿：团队标间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2025/01/04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【亚龙湾国际玫瑰谷】（游览不少于90分钟，含电瓶车30元/人）【槟榔谷景区】（游览不少于90分钟，含电瓶车）【天涯海角】（游览不少于120分钟）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2025/01/05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 xml:space="preserve">三亚&gt;&gt;&gt;琼海  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【海旅免税店】（游览不少于120分钟）【南山文化旅游区】（游览不少于120分钟）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早餐：含；午餐：含；晚餐：不含；住宿：团队标间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2025/01/06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根据航班时间安排送机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根据航班时间安排送机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温馨提示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行程中所列酒店，如因会展、酒店满额等因素无法接待，海南地接社会安排不低于、或高于原级别标准的酒店，并提前至少48小时通知。海南省政府为了更好的规划海南酒店的管理，全岛目前没有挂星的大部分酒店将“酒店”两字变更为“旅租”，敬请知晓！特别提示：岛屿类（蜈支洲岛、分界洲岛、西岛等）景区规定60岁以上及行动不便游客（包括孕妇）需写景区的免责声明方可登船上岛；70周岁以上老年人出于安全考虑，景区不予接待，请慎重选择。如遇人力不可抗拒因素（台风、暴雨、检修、交通管制、修路等）或政策性调整（博鳌亚洲论坛会议期间、全国性娱乐停演等）导致无法游览的景点和项目，我社有权取消或更换为其它等价景点或项目,赠送景点和项目费用不退，并有权将景点及住宿顺序做相应调整；出游过程中，如产生退费情况，以退费项目旅行社折扣价为依据，均不以挂牌价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沈漪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2024/12/21 10:08:51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