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西海国旅团队/散客确认书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夏琼</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夏琼</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西海国旅</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夏琼</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15109713428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2019112920200110A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万塔王国全景八日游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1、陈玉林</w:t>
            </w:r>
          </w:p>
        </w:tc>
        <w:tc>
          <w:tcPr>
            <w:tcW w:w="2310" w:type="dxa"/>
            <w:vAlign w:val="center"/>
          </w:tcPr>
          <w:p>
            <w:pPr/>
            <w:r>
              <w:rPr>
                <w:lang w:val="zh-CN"/>
                <w:rFonts w:ascii="Times New Roman" w:hAnsi="Times New Roman" w:cs="Times New Roman"/>
                <w:sz w:val="20"/>
                <w:szCs w:val="20"/>
                <w:color w:val="000000"/>
              </w:rPr>
              <w:t>CHEN/YULIN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1954-11-06</w:t>
            </w:r>
          </w:p>
        </w:tc>
        <w:tc>
          <w:tcPr>
            <w:tcW w:w="2310" w:type="dxa"/>
            <w:vAlign w:val="center"/>
          </w:tcPr>
          <w:p>
            <w:pPr/>
            <w:r>
              <w:rPr>
                <w:lang w:val="zh-CN"/>
                <w:rFonts w:ascii="Times New Roman" w:hAnsi="Times New Roman" w:cs="Times New Roman"/>
                <w:sz w:val="20"/>
                <w:szCs w:val="20"/>
                <w:color w:val="000000"/>
              </w:rPr>
              <w:t>E94406476</w:t>
            </w:r>
          </w:p>
        </w:tc>
        <w:tc>
          <w:tcPr>
            <w:tcW w:w="2310" w:type="dxa"/>
            <w:vAlign w:val="center"/>
          </w:tcPr>
          <w:p>
            <w:pPr/>
            <w:r>
              <w:rPr>
                <w:lang w:val="zh-CN"/>
                <w:rFonts w:ascii="Times New Roman" w:hAnsi="Times New Roman" w:cs="Times New Roman"/>
                <w:sz w:val="20"/>
                <w:szCs w:val="20"/>
                <w:color w:val="000000"/>
              </w:rPr>
              <w:t>青海</w:t>
            </w:r>
          </w:p>
        </w:tc>
        <w:tc>
          <w:tcPr>
            <w:tcW w:w="2310" w:type="dxa"/>
            <w:vAlign w:val="center"/>
          </w:tcPr>
          <w:p>
            <w:pPr/>
            <w:r>
              <w:rPr>
                <w:lang w:val="zh-CN"/>
                <w:rFonts w:ascii="Times New Roman" w:hAnsi="Times New Roman" w:cs="Times New Roman"/>
                <w:sz w:val="20"/>
                <w:szCs w:val="20"/>
                <w:color w:val="000000"/>
              </w:rPr>
              <w:t>2017-03-24</w:t>
            </w:r>
          </w:p>
        </w:tc>
        <w:tc>
          <w:tcPr>
            <w:tcW w:w="2310" w:type="dxa"/>
            <w:vAlign w:val="center"/>
          </w:tcPr>
          <w:p>
            <w:pPr/>
            <w:r>
              <w:rPr>
                <w:lang w:val="zh-CN"/>
                <w:rFonts w:ascii="Times New Roman" w:hAnsi="Times New Roman" w:cs="Times New Roman"/>
                <w:sz w:val="20"/>
                <w:szCs w:val="20"/>
                <w:color w:val="000000"/>
              </w:rPr>
              <w:t>2027-03-23</w:t>
            </w:r>
          </w:p>
        </w:tc>
      </w:tr>
      <w:tr>
        <w:tc>
          <w:tcPr>
            <w:tcW w:w="2310" w:type="dxa"/>
            <w:vAlign w:val="center"/>
          </w:tcPr>
          <w:p>
            <w:pPr/>
            <w:r>
              <w:rPr>
                <w:lang w:val="zh-CN"/>
                <w:rFonts w:ascii="Times New Roman" w:hAnsi="Times New Roman" w:cs="Times New Roman"/>
                <w:sz w:val="20"/>
                <w:szCs w:val="20"/>
                <w:color w:val="000000"/>
              </w:rPr>
              <w:t>2、周元福</w:t>
            </w:r>
          </w:p>
        </w:tc>
        <w:tc>
          <w:tcPr>
            <w:tcW w:w="2310" w:type="dxa"/>
            <w:vAlign w:val="center"/>
          </w:tcPr>
          <w:p>
            <w:pPr/>
            <w:r>
              <w:rPr>
                <w:lang w:val="zh-CN"/>
                <w:rFonts w:ascii="Times New Roman" w:hAnsi="Times New Roman" w:cs="Times New Roman"/>
                <w:sz w:val="20"/>
                <w:szCs w:val="20"/>
                <w:color w:val="000000"/>
              </w:rPr>
              <w:t>ZHOU/YUANFU</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1955-03-17</w:t>
            </w:r>
          </w:p>
        </w:tc>
        <w:tc>
          <w:tcPr>
            <w:tcW w:w="2310" w:type="dxa"/>
            <w:vAlign w:val="center"/>
          </w:tcPr>
          <w:p>
            <w:pPr/>
            <w:r>
              <w:rPr>
                <w:lang w:val="zh-CN"/>
                <w:rFonts w:ascii="Times New Roman" w:hAnsi="Times New Roman" w:cs="Times New Roman"/>
                <w:sz w:val="20"/>
                <w:szCs w:val="20"/>
                <w:color w:val="000000"/>
              </w:rPr>
              <w:t>E94406475</w:t>
            </w:r>
          </w:p>
        </w:tc>
        <w:tc>
          <w:tcPr>
            <w:tcW w:w="2310" w:type="dxa"/>
            <w:vAlign w:val="center"/>
          </w:tcPr>
          <w:p>
            <w:pPr/>
            <w:r>
              <w:rPr>
                <w:lang w:val="zh-CN"/>
                <w:rFonts w:ascii="Times New Roman" w:hAnsi="Times New Roman" w:cs="Times New Roman"/>
                <w:sz w:val="20"/>
                <w:szCs w:val="20"/>
                <w:color w:val="000000"/>
              </w:rPr>
              <w:t>青海</w:t>
            </w:r>
          </w:p>
        </w:tc>
        <w:tc>
          <w:tcPr>
            <w:tcW w:w="2310" w:type="dxa"/>
            <w:vAlign w:val="center"/>
          </w:tcPr>
          <w:p>
            <w:pPr/>
            <w:r>
              <w:rPr>
                <w:lang w:val="zh-CN"/>
                <w:rFonts w:ascii="Times New Roman" w:hAnsi="Times New Roman" w:cs="Times New Roman"/>
                <w:sz w:val="20"/>
                <w:szCs w:val="20"/>
                <w:color w:val="000000"/>
              </w:rPr>
              <w:t>2017-03-24</w:t>
            </w:r>
          </w:p>
        </w:tc>
        <w:tc>
          <w:tcPr>
            <w:tcW w:w="2310" w:type="dxa"/>
            <w:vAlign w:val="center"/>
          </w:tcPr>
          <w:p>
            <w:pPr/>
            <w:r>
              <w:rPr>
                <w:lang w:val="zh-CN"/>
                <w:rFonts w:ascii="Times New Roman" w:hAnsi="Times New Roman" w:cs="Times New Roman"/>
                <w:sz w:val="20"/>
                <w:szCs w:val="20"/>
                <w:color w:val="000000"/>
              </w:rPr>
              <w:t>2027-03-23</w:t>
            </w:r>
          </w:p>
        </w:tc>
      </w:tr>
      <w:tr>
        <w:tc>
          <w:tcPr>
            <w:tcW w:w="2310" w:type="dxa"/>
            <w:vAlign w:val="center"/>
          </w:tcPr>
          <w:p>
            <w:pPr/>
            <w:r>
              <w:rPr>
                <w:lang w:val="zh-CN"/>
                <w:rFonts w:ascii="Times New Roman" w:hAnsi="Times New Roman" w:cs="Times New Roman"/>
                <w:sz w:val="20"/>
                <w:szCs w:val="20"/>
                <w:color w:val="000000"/>
              </w:rPr>
              <w:t>3、周昱丞</w:t>
            </w:r>
          </w:p>
        </w:tc>
        <w:tc>
          <w:tcPr>
            <w:tcW w:w="2310" w:type="dxa"/>
            <w:vAlign w:val="center"/>
          </w:tcPr>
          <w:p>
            <w:pPr/>
            <w:r>
              <w:rPr>
                <w:lang w:val="zh-CN"/>
                <w:rFonts w:ascii="Times New Roman" w:hAnsi="Times New Roman" w:cs="Times New Roman"/>
                <w:sz w:val="20"/>
                <w:szCs w:val="20"/>
                <w:color w:val="000000"/>
              </w:rPr>
              <w:t>ZHOU/YUCHENG</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2010-10-25</w:t>
            </w:r>
          </w:p>
        </w:tc>
        <w:tc>
          <w:tcPr>
            <w:tcW w:w="2310" w:type="dxa"/>
            <w:vAlign w:val="center"/>
          </w:tcPr>
          <w:p>
            <w:pPr/>
            <w:r>
              <w:rPr>
                <w:lang w:val="zh-CN"/>
                <w:rFonts w:ascii="Times New Roman" w:hAnsi="Times New Roman" w:cs="Times New Roman"/>
                <w:sz w:val="20"/>
                <w:szCs w:val="20"/>
                <w:color w:val="000000"/>
              </w:rPr>
              <w:t>E94414783</w:t>
            </w:r>
          </w:p>
        </w:tc>
        <w:tc>
          <w:tcPr>
            <w:tcW w:w="2310" w:type="dxa"/>
            <w:vAlign w:val="center"/>
          </w:tcPr>
          <w:p>
            <w:pPr/>
            <w:r>
              <w:rPr>
                <w:lang w:val="zh-CN"/>
                <w:rFonts w:ascii="Times New Roman" w:hAnsi="Times New Roman" w:cs="Times New Roman"/>
                <w:sz w:val="20"/>
                <w:szCs w:val="20"/>
                <w:color w:val="000000"/>
              </w:rPr>
              <w:t>青海</w:t>
            </w:r>
          </w:p>
        </w:tc>
        <w:tc>
          <w:tcPr>
            <w:tcW w:w="2310" w:type="dxa"/>
            <w:vAlign w:val="center"/>
          </w:tcPr>
          <w:p>
            <w:pPr/>
            <w:r>
              <w:rPr>
                <w:lang w:val="zh-CN"/>
                <w:rFonts w:ascii="Times New Roman" w:hAnsi="Times New Roman" w:cs="Times New Roman"/>
                <w:sz w:val="20"/>
                <w:szCs w:val="20"/>
                <w:color w:val="000000"/>
              </w:rPr>
              <w:t>2017-05-26</w:t>
            </w:r>
          </w:p>
        </w:tc>
        <w:tc>
          <w:tcPr>
            <w:tcW w:w="2310" w:type="dxa"/>
            <w:vAlign w:val="center"/>
          </w:tcPr>
          <w:p>
            <w:pPr/>
            <w:r>
              <w:rPr>
                <w:lang w:val="zh-CN"/>
                <w:rFonts w:ascii="Times New Roman" w:hAnsi="Times New Roman" w:cs="Times New Roman"/>
                <w:sz w:val="20"/>
                <w:szCs w:val="20"/>
                <w:color w:val="000000"/>
              </w:rPr>
              <w:t>2022-05-25</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4360.00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2180.00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总金额：陆仟伍佰肆拾元整</w:t>
            </w:r>
          </w:p>
        </w:tc>
        <w:tc>
          <w:tcPr>
            <w:tcW w:w="2310" w:type="dxa"/>
            <w:textDirection w:val="right"/>
            <w:gridSpan w:val="3"/>
          </w:tcPr>
          <w:p>
            <w:pPr/>
            <w:r>
              <w:rPr>
                <w:lang w:val="zh-CN"/>
                <w:rFonts w:ascii="Times New Roman" w:hAnsi="Times New Roman" w:cs="Times New Roman"/>
                <w:b/>
                <w:color w:val="FF0000"/>
              </w:rPr>
              <w:t>6540.00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青海省西海国际旅行社有限责任公司</w:t>
            </w:r>
          </w:p>
        </w:tc>
        <w:tc>
          <w:tcPr>
            <w:tcW w:w="2310" w:type="dxa"/>
            <w:gridSpan w:val="3"/>
          </w:tcPr>
          <w:p>
            <w:pPr/>
            <w:r>
              <w:rPr>
                <w:lang w:val="zh-CN"/>
                <w:rFonts w:ascii="Times New Roman" w:hAnsi="Times New Roman" w:cs="Times New Roman"/>
                <w:sz w:val="20"/>
                <w:szCs w:val="20"/>
                <w:color w:val="000000"/>
              </w:rPr>
              <w:t>105006035624</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青海省西海国际旅行社有限责任公司</w:t>
            </w:r>
          </w:p>
        </w:tc>
        <w:tc>
          <w:tcPr>
            <w:tcW w:w="2310" w:type="dxa"/>
            <w:gridSpan w:val="3"/>
          </w:tcPr>
          <w:p>
            <w:pPr/>
            <w:r>
              <w:rPr>
                <w:lang w:val="zh-CN"/>
                <w:rFonts w:ascii="Times New Roman" w:hAnsi="Times New Roman" w:cs="Times New Roman"/>
                <w:sz w:val="20"/>
                <w:szCs w:val="20"/>
                <w:color w:val="000000"/>
              </w:rPr>
              <w:t>9729 0008 1010 707</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兰州-(飞)-曼德勒  参考航班：兰州-曼德勒QW6093  21:25-23:15(飞机)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请各位贵宾准时于指定时间、地点集合（以出团通知书为准），前往兰州机场乘坐国际航班飞往宝石之乡的曼德勒，抵达后入住酒店休息，为即将开始的佛国之旅养精蓄锐。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早餐：无；午餐：无；晚餐：无；住宿：曼德勒四星 参考酒店：特宏酒店The Home Hotel/玉林酒店 Hotel Yi Link</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曼德勒-蒲甘：【千人僧饭】-蒲甘-瑞喜宫塔 -（日落餐厅）【木偶戏】(大巴)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马哈伽纳扬僧院，又称千人僧饭MahaGanayonKyaung】（游览时间约60分钟）马哈伽纳扬僧院位于乌本桥头，是全缅甸最大的僧院。这里犹如一所僧人大学，学生人数接近2000人。每天上午10点，各国游客云集至此，目睹千名和尚一同用午餐的画面，冲击震撼。缅甸僧侣一天只吃2餐，一餐在清晨4点钟，一餐在上午10点钟，过午不食，只能喝水。至于和尚们的伙食，荤素都有，鸡鸭鱼肉、水果蔬菜、茶水饮料一样不少。因为缅甸的僧人可以吃荤，一般情况下，化缘得到什么就吃什么。后前往蒲甘，（车程约4小时）。●游览【瑞喜宫塔ShwezigonPaya】（游览时间约30分钟）缅甸最著名的三大佛塔之一，是蒲甘塔群中最大且唯一用石头建造的佛塔，以3层平台为基座，上接一八角形平台连接钟型塔，也为后来蒲甘平原许多佛塔的建筑模板，是阿奴律陀国王所兴建，象征着阿奴律陀国王的丰功伟绩●观赏【伊洛瓦底江观日落】（日落餐厅），伊洛瓦底江是缅甸第一大河，全长约2170公里，纵贯缅甸中部，缅甸人亲切的将她称为自己的母亲河。●【木偶戏】享用晚餐看着木偶一节节地被注入生命，这穿上衣物的木条，在线条牵引下，陡然间具有了人的灵性，或唱或跳，或舞或吟，举手投足之间，居然有着别致的风情,恍惚间不禁满眼粉墨人生。缅甸的木偶戏融入缅甸独有的传奇故事，没有语言障碍用独到的形式传递缅甸的故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早餐：酒店自助；午餐：缅式桌餐；晚餐：缅式桌餐；住宿：蒲甘四星 参考酒店：翡翠宫酒店Bagan Emerald/皇家爱格丽酒店等</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蒲甘-内比都：蒲甘最美日出-乘坐小马车穿塔林-阿南达寺-达玛央吉佛塔-内比都-白象园-内比都大金塔(大巴)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晨，在万塔群中【观蒲甘最美日出】。之后返回酒店内享用早餐。●乘坐【传统马车塔林穿越之旅】两人一部马车，沿着乡间小路，穿行散落在原野、荒草树林的形形色色、大大小小的佛塔间，仿佛时光倒流，回到了蒲甘王朝的历史长河中。途中参观【蒲甘塔林】，以建筑优美，造型各异，数量众多，气势磅礡和浓浓的历史沧桑，而闻名于世。和柬埔寨【吴哥古迹群】，印尼【婆罗浮陀佛塔群】一起，被誉为当今最伟大，最珍贵的佛教奇迹。●参观【阿南达寺AnandaPahto】（游览时间约30分钟）阿南达寺坐落在OldBagan古城墙的东面，寺名来自于佛陀的声闻弟子以多闻第一的阿难尊者。●游览【达玛央吉佛塔Dhammayangyi】（游览时间约30分钟）。是蒲甘体型最大的塔，造型没有众佛塔那彷如童话城堡般的尖尖塔顶，倒更像是南美玛雅金字塔一般。●赴【白象园】（游览时间约30分钟），在缅甸白象历来被视为神圣之物，象征着君主圣明、国家昌盛。在佛寺中，白象雕像常和佛像摆放在一起供人们祭拜。所谓白象并非全白色，凡是金黄、银白、嫩绿、淡红等肤色的大象都被称为白象。●参观【内比都大金塔UppatasantiPagoda】（游览时间约60分钟），又称（内比都和平塔）塔高100米，是2009年依照仰光世界和平塔仿造而成。虽然相对而言仰光和平塔更久负盛名，但内比都大金塔却以规模取胜，豪华气派，内外均为贴金装饰，为内比都的地标建筑物。塔中为空，人们可以进入内部礼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早餐：酒店自助；午餐：缅式桌餐；晚餐：缅式桌餐；住宿：内比都四星 参考酒店：新挨亚尔酒店Nwe Aye Yar Hotel /拉斯维加斯酒店 Las Vegas Hotel 等</w:t>
            </w:r>
          </w:p>
        </w:tc>
      </w:tr>
      <w:tr>
        <w:tc>
          <w:tcPr>
            <w:tcW w:w="2310" w:type="dxa"/>
            <w:vAlign w:val="center"/>
            <w:vMerge w:val="restart"/>
          </w:tcPr>
          <w:p>
            <w:pPr/>
            <w:r>
              <w:rPr>
                <w:lang w:val="zh-CN"/>
                <w:rFonts w:ascii="Times New Roman" w:hAnsi="Times New Roman" w:cs="Times New Roman"/>
                <w:sz w:val="20"/>
                <w:szCs w:val="20"/>
                <w:color w:val="000000"/>
              </w:rPr>
              <w:t>2020/01/13</w:t>
            </w:r>
          </w:p>
        </w:tc>
        <w:tc>
          <w:tcPr>
            <w:tcW w:w="2310" w:type="dxa"/>
            <w:gridSpan w:val="7"/>
          </w:tcPr>
          <w:p>
            <w:pPr/>
            <w:r>
              <w:rPr>
                <w:lang w:val="zh-CN"/>
                <w:rFonts w:ascii="Times New Roman" w:hAnsi="Times New Roman" w:cs="Times New Roman"/>
                <w:b/>
                <w:color w:val="000000"/>
              </w:rPr>
              <w:t>内比都-仰光：双向18车道-车观行政大楼-仰光-车览昂山素季住宅-黄家湖-乔多吉白玉佛寺(大巴)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观内比都行政大楼，双向18车道，感受内比都基础设施的一个高速发展，●车览【昂山素季住宅】昂山素季，生于缅甸仰光，是缅甸提倡民主的政治家，领导人。●参观建于英国殖民时代的【皇家湖】（车程约30分钟），是缅甸国宴和重大文艺演出的重要场所。整座湖泊被面积110公顷的皇家自然公园(KandawgyiNaturePark)和69.25公顷的仰光动物园(YangonZoologicalGardens)包围。可远观缅甸最具特色的皇家鸳鸯船——卡拉威宫，曾是古代缅甸皇帝御用的水上餐厅，白天看上去金碧辉煌，夜晚则灯光璀璨、倒影斑斓。●前往【乔多吉白玉佛寺】，它是缅甸一位复员军人捐建的，寺内供奉着缅甸最独特的大玉佛。佛祖全身是由一块重达600吨的缅甸纯白玉构成，高约11米，宽约7米，厚近3米，经数十位工匠耗时3年多才雕琢完成，庄严宏伟，堪称一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早餐：酒店自助；午餐：缅式桌餐；晚餐：缅式桌餐；住宿：参考酒店：太平洋酒店Pacific Hotel /悉尼酒店Hotel Sidney</w:t>
            </w:r>
          </w:p>
        </w:tc>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仰光-内比都：仰光大金塔-班都拉公园-市政大厅-最高法院-圣玛丽大教堂-内比都(大巴)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金碧辉煌的缅甸【仰光大金塔】（车程约20分钟）大金塔是世界佛教圣地、缅甸佛国的象征，它与柬埔寨的吴哥窟、印度尼西亚的婆罗浮屠一起，被誉为“东南亚三大古迹”。缅甸人称大金塔为"瑞大光塔"，"瑞"在缅语中是"金"的意思，"大光"是仰光的古称，缅甸人把大金塔视为自己的骄傲。●参观【班都拉公园】，它位于小金塔边的闹市中，是仰光人日常闲聚的地方，在此可以体味地道的仰光市民生活（参观约40分钟）。●车览最高法院，随后前往【圣玛丽大教堂】（游览时间约30分钟）仰光圣玛丽大教堂始建于1895年，属新歌特风格建筑，是仰光地区最大的天主教堂，曾有多名英国神父先后在此传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早餐：酒店自助；午餐：缅式桌餐；晚餐：缅式桌餐；住宿：内比都四星 参考酒店：新挨亚尔酒店Nwe Aye Yar Hotel /拉斯维加斯酒店等</w:t>
            </w:r>
          </w:p>
        </w:tc>
      </w:tr>
      <w:tr>
        <w:tc>
          <w:tcPr>
            <w:tcW w:w="2310" w:type="dxa"/>
            <w:vAlign w:val="center"/>
            <w:vMerge w:val="restart"/>
          </w:tcPr>
          <w:p>
            <w:pPr/>
            <w:r>
              <w:rPr>
                <w:lang w:val="zh-CN"/>
                <w:rFonts w:ascii="Times New Roman" w:hAnsi="Times New Roman" w:cs="Times New Roman"/>
                <w:sz w:val="20"/>
                <w:szCs w:val="20"/>
                <w:color w:val="000000"/>
              </w:rPr>
              <w:t>2020/01/15</w:t>
            </w:r>
          </w:p>
        </w:tc>
        <w:tc>
          <w:tcPr>
            <w:tcW w:w="2310" w:type="dxa"/>
            <w:gridSpan w:val="7"/>
          </w:tcPr>
          <w:p>
            <w:pPr/>
            <w:r>
              <w:rPr>
                <w:lang w:val="zh-CN"/>
                <w:rFonts w:ascii="Times New Roman" w:hAnsi="Times New Roman" w:cs="Times New Roman"/>
                <w:b/>
                <w:color w:val="000000"/>
              </w:rPr>
              <w:t>内比都-曼德勒  白玉佛寺-曼德勒-翡翠佛塔(大巴)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内比都白玉佛寺】（游览时间约30分钟）玉佛使用了一块重达300吨的缅甸纯白玉，经数十位工匠，耗时3年余方雕琢而就。这个佛寺金碧辉煌，建于内比都一座风景秀美的山丘上。从佛寺往下俯瞰首都风景，别有一番风味。●游览【翡翠佛塔】(参观时间约45分钟)是全球唯一一座由翡翠搭建而成的佛塔，2012建设完毕，是由一对虔诚的缅族人乌搜乃和他的妻子AyeAyeKhaing，把他们储存了25年的玉石建造了宝塔，花了2年的时间建造。总共使用了1000吨的玉石，价值11亿美元。最高质量的玉被插入宝塔的尖端，邀请日本技术人员确保宝塔能够承受地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早餐：酒店自助；午餐：缅式桌餐；晚餐：缅式桌餐；住宿：曼德勒四星 参考酒店：黄金酒店/大公园酒店/特宏酒店The Home Hotel/玉林酒店 Hotel Yi Link</w:t>
            </w:r>
          </w:p>
        </w:tc>
      </w:tr>
      <w:tr>
        <w:tc>
          <w:tcPr>
            <w:tcW w:w="2310" w:type="dxa"/>
            <w:vAlign w:val="center"/>
            <w:vMerge w:val="restart"/>
          </w:tcPr>
          <w:p>
            <w:pPr/>
            <w:r>
              <w:rPr>
                <w:lang w:val="zh-CN"/>
                <w:rFonts w:ascii="Times New Roman" w:hAnsi="Times New Roman" w:cs="Times New Roman"/>
                <w:sz w:val="20"/>
                <w:szCs w:val="20"/>
                <w:color w:val="000000"/>
              </w:rPr>
              <w:t>2020/01/16</w:t>
            </w:r>
          </w:p>
        </w:tc>
        <w:tc>
          <w:tcPr>
            <w:tcW w:w="2310" w:type="dxa"/>
            <w:gridSpan w:val="7"/>
          </w:tcPr>
          <w:p>
            <w:pPr/>
            <w:r>
              <w:rPr>
                <w:lang w:val="zh-CN"/>
                <w:rFonts w:ascii="Times New Roman" w:hAnsi="Times New Roman" w:cs="Times New Roman"/>
                <w:b/>
                <w:color w:val="000000"/>
              </w:rPr>
              <w:t>曼德勒 翡翠工厂店-曼德勒皇宫-乳胶-菩耶尼寺庙(大巴)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工厂店】（参观时间约120分钟）集翡翠毛料、翡翠加工、翡翠成品等为一体的免税珠宝交易中心。缅甸翡翠简称缅翠，市场上商业品级上乘的翡翠玉石98%以上来自缅甸，翡翠又称为缅甸玉。●游览【曼德勒皇宫】（游览时间约30分钟）曼德勒皇宫位于古城内正中央，原为缅甸最后一个王朝贡榜王朝的皇宫，二次世界大战时被火毁，现在原址重建。●参观【乳胶工厂】（约90分钟）好的睡眠离不开舒适的床上用品，国际认证经久耐用，永不变形。之后前往参观【菩耶尼寺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早餐：酒店自助；午餐：缅式桌餐；晚餐：缅式桌餐；住宿：曼德勒四星参考酒店：特宏酒店The Home Hotel/玉林酒店 Hotel Yi Link</w:t>
            </w:r>
          </w:p>
        </w:tc>
      </w:tr>
      <w:tr>
        <w:tc>
          <w:tcPr>
            <w:tcW w:w="2310" w:type="dxa"/>
            <w:vAlign w:val="center"/>
            <w:vMerge w:val="restart"/>
          </w:tcPr>
          <w:p>
            <w:pPr/>
            <w:r>
              <w:rPr>
                <w:lang w:val="zh-CN"/>
                <w:rFonts w:ascii="Times New Roman" w:hAnsi="Times New Roman" w:cs="Times New Roman"/>
                <w:sz w:val="20"/>
                <w:szCs w:val="20"/>
                <w:color w:val="000000"/>
              </w:rPr>
              <w:t>2020/01/17</w:t>
            </w:r>
          </w:p>
        </w:tc>
        <w:tc>
          <w:tcPr>
            <w:tcW w:w="2310" w:type="dxa"/>
            <w:gridSpan w:val="7"/>
          </w:tcPr>
          <w:p>
            <w:pPr/>
            <w:r>
              <w:rPr>
                <w:lang w:val="zh-CN"/>
                <w:rFonts w:ascii="Times New Roman" w:hAnsi="Times New Roman" w:cs="Times New Roman"/>
                <w:b/>
                <w:color w:val="000000"/>
              </w:rPr>
              <w:t>曼德勒-（飞）-兰州 珠宝工厂-山达穆尼寺-缅甸珍贵土特产-乌本桥  参考航班曼德勒-兰州QW6094  02:30-07:10(飞机)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后参观【珠宝交易中心】（参观时间约120分钟）免税珠宝中心不仅能让您挑选各式各样质量上乘的各种翡翠工艺品，还能让您享受免税珠宝的优惠价格。让您买的放心，买的实惠。●【山达穆尼寺庙】寺庙位于曼德勒山脚东南边，建于1866年，是敏东王为了纪念弟弟所建。●赴【乌本桥(UBeinBridge)】，在缅甸的Amarapura(阿马拉布拉)古城境内，横跨东塔曼湖(Taungthaman)，长达1200米，是世界上最长的柚木桥。桥墩、桥梁、铺桥的木板都是用珍贵的柚木。修建于贡榜王朝的敏东王时期。晚餐后前往机场，办理登机手续，乘包机返回温馨家园，结束我们美好的缅甸包机度假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早餐：酒店自助；午餐：缅式桌餐；晚餐：缅式桌餐；住宿：</w:t>
            </w:r>
          </w:p>
        </w:tc>
      </w:tr>
      <w:tr>
        <w:tc>
          <w:tcPr>
            <w:tcW w:w="2310" w:type="dxa"/>
            <w:vAlign w:val="center"/>
            <w:vMerge w:val="restart"/>
          </w:tcPr>
          <w:p>
            <w:pPr/>
            <w:r>
              <w:rPr>
                <w:lang w:val="zh-CN"/>
                <w:rFonts w:ascii="Times New Roman" w:hAnsi="Times New Roman" w:cs="Times New Roman"/>
                <w:sz w:val="20"/>
                <w:szCs w:val="20"/>
                <w:color w:val="000000"/>
              </w:rPr>
              <w:t>2020/01/18</w:t>
            </w:r>
          </w:p>
        </w:tc>
        <w:tc>
          <w:tcPr>
            <w:tcW w:w="2310" w:type="dxa"/>
            <w:gridSpan w:val="7"/>
          </w:tcPr>
          <w:p>
            <w:pPr/>
            <w:r>
              <w:rPr>
                <w:lang w:val="zh-CN"/>
                <w:rFonts w:ascii="Times New Roman" w:hAnsi="Times New Roman" w:cs="Times New Roman"/>
                <w:b/>
                <w:color w:val="000000"/>
              </w:rPr>
              <w:t>兰州-西宁(大巴)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飞机抵达兰州乘车前往西宁，结束行程。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服务标准包含：1.国际往返机票（含机场税），团队经济舱；2.缅甸当地酒店双人标准间/大床间住宿；3.中式午、晚餐八菜一汤（用餐时间在飞机或船上以机船餐为准，不再另退餐费），因个人原因不用餐不退餐费；4.全程旅游巴士及专业司机；5.全程中文领队兼导游服务；6.旅游人身意外险；7.旅行社责任险。服务标准不包含：1.护照费；2.洗衣、理发、电话、饮料、烟酒、付费电视、行李搬运等私人费用；3.行李海关课税，超重行李托运费、管理费；4.行程中未提及的景点游览及其他费用，如特殊门票、出租车等费用；5.因交通延阻、罢工、大风、大雾、航班取消或更改时间等人力不可抗拒原因所引致的额外费用；6.团队旅游签杂费650元/人；7.缅甸境内的小费（酒店床头小费、酒店行李员小费、司机小费、司机助理小费）需客人自理，建议费用1000缅币/人/次。8.单房差800元.9.老人小童须收附加费，12岁以下小孩不占床同成人，占床+800元，12岁-18岁必须占床+800元！65岁以上+300元附加费。</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自费购物补充确认购物：经旅游者与旅行社双方充分协商，就本次旅游的购物场所达成一致，旅游者自愿签署本补充协议。1. 游客在本补充协议约定的购物场所购买的商品，非商品质量问题，旅行社不协助退换；2. 游客自行前往非本补充协议中的购物场所购买的商品，旅行社不承担任何责任；3. 百货公司，免税店，名品专卖店不属于针对旅游团队的购物场所，所以并不在《旅游法》法规限制的购物场所。如行程中涉及到以上地点，请您放心购物。4. 物刷卡手续费已有银行收取不能退还，如退货时发生手续费由旅游者承担。我已阅读并充分理解以上所有内容，并愿意在友好、平等、自愿的情况下确认：旅行社已就上述商店的特色、旅游者自愿购物、购物退税事宜及相关风险对我进行了全面的告知、提醒。我经慎重考虑后，自愿前往上述购物场所购买商品，旅行社并无强迫。我承诺将按照导游提醒办理退税事宜，并遵循旅行社的提示理性消费、注意保留购物单据、注意自身人身财产安全。如不能获得当地的退税，我将自行承担相关的损失。我同意《购物补充确认》作为双方签署的旅游合同不可分割的组成部分。 </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照原件（六个月以上有效期）！2张白底彩色照片</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海关：外国旅客可携带美金入境缅甸，而美金超过2000元以上一般需要报关。携带贵重物品进入缅甸需要报关以便于日后顺利出境。在缅甸境内购买的珠宝玉器、精致佛像必须在政府核发营业执照的正规商店购买并附有收款凭证，才可以携带出境。此外，贵宾入境时可以携带200支香烟、1瓶酒和1瓶香水。游客最好自备牙膏、牙刷、拖鞋及洗浴用品。2、天气：缅甸全年平均温度大约为摄氏26-36度。全年分为旱季和雨季。旱季为10月至来年4月。旱季是缅甸黄金旅游季节，天气晴朗，游客需自备防晒霜、墨镜、遮阳帽等物品；雨季为5月至9月初，仰光等缅甸南部地区雨水较多，建议游客携带雨具。3、时差：缅甸比北京时间慢1小时30分（如北京时间为9：30，则缅甸时间为8：00）。4、治安：缅甸是全民信教的佛教国家，治安情况较好，犯罪率底。除了缅甸、泰国、老挝交界的金三角地区以外，游客可放心旅游。但是仍然要注意人身和财产安全，钱财等最好不示人和外露，切记晚上别到偏僻人少的地方游荡，以免招致祸端。5、衣著：缅甸全年气温较高，游客着装以轻便、凉爽、舒适的夏季衣物为主。严禁穿着在膝盖以上的短裤或裙子等进入佛塔、庙宇、皇宫和修道院，并且进入不许穿着鞋袜，必须赤脚。前往密支那、茵莱湖的游客最好携带一件抓绒户外衣服，缅甸是高原地区，早晚温差大。6、环境：缅甸重工业比较落后，大部分地区没有工业污染，环境较原生态，垃圾以生活垃圾为主。由于国家经济相对落后，基础设施比较差，道路路况不好。7、汽车：缅甸汽车工业落后，新车进口手续非常繁琐，复杂。缅甸的旅游车大多都是从日本进口的二手旧车，方向盘在右侧，车况比较陈旧，但是司机一般都打扫的非常干净。8、语言：缅甸语是官方语言，英语为通用语言。仰光、曼德勒等城市有很多华人，可用汉语沟通。缅甸的出租车司机的英语很蹩脚，需要耐心慢语方能简单沟通。当你碰上华人模样的宾馆服务人员或司机时，讲英语前最好先用汉语试试。9、卫生情况：到任何地方旅行，都必须做好防护措施。只喝瓶装的卫生水，不要使用未经煮热的生食物。也不要随便在路边小吃摊进食。缅甸医疗比较落后，游客请自备一些防治中暑的药以及止泻药、创可贴、感冒药、驱蚊水等。10、电压：缅甸的电压是220-230V，但插座仅仅是一些酒店与国内一致无须转换，大部分酒店均需转换器，缅甸的插座普遍分为3种，所以一定要自备旅行装万能插头转换器。（1）三项扁头，一般高级酒店使用（2）两项圆头，德标（欧标）普通或高级酒店常用（3）三项圆头（南非标）11、通讯：缅甸的无线通讯网络是GSM网，但是与中国的GSM不是同一个频率；所以有部分中国的手机号在缅甸不能适用。可以购买当地电话卡，费用在1.5美金左右，再充值话费和流量。12、货币：缅甸货币单位为KYAT，中文发音是：“基-耶”。人民币在缅甸境内不能兑换和使用。外国游客在缅甸基本使用美金，为在当地购买小件物品方便建议出发前换一些小面值的美金及到当地换一些缅币。请记住：缅甸人只用新版的美元，旧版的一般会被拒绝或者在汇率上损失不少。可以使用银联和带有VISA或MASTER的信用卡。13、购物：缅甸特色的纪念品以手工艺漆器、翡翠、红蓝宝石、玉器、古玩和海产品为主。仰光的翡翠世界闻名；曼德勒的提线木偶和柚木工艺品很有名；蒲甘的沙画具有浓厚的小乘佛教韵味；而在茵莱湖，用莲藕丝织成的衣物和围巾等深受游客喜爱。14、礼仪：缅甸是佛教国家，也是对中国游客很友好的国家。缅甸民风朴素，旅客须遵守佛教礼仪，进入所有的寺庙都需要脱鞋及穿著整洁之服饰。女士必须穿长裤长裙进入寺庙。在任何场合，避免谈及对佛教不敬之言论，绝不谈及对缅甸军政府有任何不敬的言论，也不要参与到西方游客对缅甸政府的讨论话题中。15、电力：缅甸电力供应比较紧张，即便是在五星级酒店内也有停电现象。如果遇到这种情况不用着急，只要静等十几秒，或一分钟就可以恢复。建议带手电筒。16、风险提示：由于进入寺院必须赤脚，下雨天地滑容易摔倒，不要一边拍照一边走路。路边的索要财物的孩子或者其他人，不要理会，给一个会招来很多人上前。上船前不要靠近河边，以免滑倒跌入河中。下大雨时最好不要下海，可能会腿抽筋或者头晕，下海时不要前往深水区，以免发生危险。请做好防晒工作，防止晒黑或晒伤。海鲜请慎用，防止食物中毒或者拉肚子。游客需对其本人身体状况是否适合本次旅游负责，另外应加强安全防范意识、服从安排、听从劝告。特别是在海边、泳池游泳、潜水、漂流等从事危险活动时，应根据自身身体情况决定运动时间、运动量，避免意外溺水等意外事件的发生，以确保您自身的人身安全问题，避免发生意外事故；旅游期间财物请随身保管。17、缅甸依旧是个半开放的国家，除了中部的仰光，曼德勒，浦甘，茵莱湖和东枝地区以外，不跟团的外国旅游者要去其它地方旅行必须先申请旅行许可证（TRAVELPERMIT），否则会被视作违法。特别提示：1、在任何场合，避免谈及对佛教不敬之言论，绝不谈及对缅甸军政府有任何不敬的言论，也不要参与到西方游客对缅甸政府的讨论话题中。2、以上行程以当地接待社为准，在不减少景点的前提下（政策性关闭除外），本社保留调整行程顺序的权利。3、因天气，政府政策调价，人力不可抗拒的自然因素，不能完成或延误上述行程，我社不负赔偿责任。所有产生的费用客人自理。4、行程中所列景点，如门票遇政府政策性调价或季节性调价，差价由客人现付当地接待社。</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夏琼</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夏琼</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2020/1/10 16:42:20</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