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开心假期团队/散客确认书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乐游上清寺路（吴琳）一自在游联盟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13808362762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开心假期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周袁宏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15683075966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GX-20210708-03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【直达北海】情迷北海涠洲岛常规5日游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2021-07-08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2021-07-12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16(11大5小)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2021-07-08 3U8461 重庆→北海 13:20-1515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2021-07-12 3U8462 北海→重庆 16:15-181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1、杜芳</w:t>
            </w:r>
          </w:p>
        </w:tc>
        <w:tc>
          <w:tcPr>
            <w:tcW w:w="2310" w:type="dxa"/>
            <w:vAlign w:val="center"/>
            <w:gridSpan w:val="2"/>
          </w:tcPr>
          <w:p>
            <w:pPr/>
            <w:r>
              <w:rPr>
                <w:lang w:val="zh-CN"/>
                <w:rFonts w:ascii="Times New Roman" w:hAnsi="Times New Roman" w:cs="Times New Roman"/>
                <w:sz w:val="20"/>
                <w:szCs w:val="20"/>
                <w:color w:val="000000"/>
              </w:rPr>
              <w:t>513822198909191787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2、王紫涵CHD</w:t>
            </w:r>
          </w:p>
        </w:tc>
        <w:tc>
          <w:tcPr>
            <w:tcW w:w="2310" w:type="dxa"/>
            <w:vAlign w:val="center"/>
            <w:gridSpan w:val="2"/>
          </w:tcPr>
          <w:p>
            <w:pPr/>
            <w:r>
              <w:rPr>
                <w:lang w:val="zh-CN"/>
                <w:rFonts w:ascii="Times New Roman" w:hAnsi="Times New Roman" w:cs="Times New Roman"/>
                <w:sz w:val="20"/>
                <w:szCs w:val="20"/>
                <w:color w:val="000000"/>
              </w:rPr>
              <w:t>50011520140425412X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3、张志容</w:t>
            </w:r>
          </w:p>
        </w:tc>
        <w:tc>
          <w:tcPr>
            <w:tcW w:w="2310" w:type="dxa"/>
            <w:vAlign w:val="center"/>
            <w:gridSpan w:val="2"/>
          </w:tcPr>
          <w:p>
            <w:pPr/>
            <w:r>
              <w:rPr>
                <w:lang w:val="zh-CN"/>
                <w:rFonts w:ascii="Times New Roman" w:hAnsi="Times New Roman" w:cs="Times New Roman"/>
                <w:sz w:val="20"/>
                <w:szCs w:val="20"/>
                <w:color w:val="000000"/>
              </w:rPr>
              <w:t>510221196503076649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4、唐福英</w:t>
            </w:r>
          </w:p>
        </w:tc>
        <w:tc>
          <w:tcPr>
            <w:tcW w:w="2310" w:type="dxa"/>
            <w:vAlign w:val="center"/>
            <w:gridSpan w:val="2"/>
          </w:tcPr>
          <w:p>
            <w:pPr/>
            <w:r>
              <w:rPr>
                <w:lang w:val="zh-CN"/>
                <w:rFonts w:ascii="Times New Roman" w:hAnsi="Times New Roman" w:cs="Times New Roman"/>
                <w:sz w:val="20"/>
                <w:szCs w:val="20"/>
                <w:color w:val="000000"/>
              </w:rPr>
              <w:t>500225198602066860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5、左瑾萱CHD</w:t>
            </w:r>
          </w:p>
        </w:tc>
        <w:tc>
          <w:tcPr>
            <w:tcW w:w="2310" w:type="dxa"/>
            <w:vAlign w:val="center"/>
            <w:gridSpan w:val="2"/>
          </w:tcPr>
          <w:p>
            <w:pPr/>
            <w:r>
              <w:rPr>
                <w:lang w:val="zh-CN"/>
                <w:rFonts w:ascii="Times New Roman" w:hAnsi="Times New Roman" w:cs="Times New Roman"/>
                <w:sz w:val="20"/>
                <w:szCs w:val="20"/>
                <w:color w:val="000000"/>
              </w:rPr>
              <w:t>430422201203250108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6、陈凤</w:t>
            </w:r>
          </w:p>
        </w:tc>
        <w:tc>
          <w:tcPr>
            <w:tcW w:w="2310" w:type="dxa"/>
            <w:vAlign w:val="center"/>
            <w:gridSpan w:val="2"/>
          </w:tcPr>
          <w:p>
            <w:pPr/>
            <w:r>
              <w:rPr>
                <w:lang w:val="zh-CN"/>
                <w:rFonts w:ascii="Times New Roman" w:hAnsi="Times New Roman" w:cs="Times New Roman"/>
                <w:sz w:val="20"/>
                <w:szCs w:val="20"/>
                <w:color w:val="000000"/>
              </w:rPr>
              <w:t>511622198706273480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7、冉浩睿CHD</w:t>
            </w:r>
          </w:p>
        </w:tc>
        <w:tc>
          <w:tcPr>
            <w:tcW w:w="2310" w:type="dxa"/>
            <w:vAlign w:val="center"/>
            <w:gridSpan w:val="2"/>
          </w:tcPr>
          <w:p>
            <w:pPr/>
            <w:r>
              <w:rPr>
                <w:lang w:val="zh-CN"/>
                <w:rFonts w:ascii="Times New Roman" w:hAnsi="Times New Roman" w:cs="Times New Roman"/>
                <w:sz w:val="20"/>
                <w:szCs w:val="20"/>
                <w:color w:val="000000"/>
              </w:rPr>
              <w:t>511622201504206751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8、李秋霞</w:t>
            </w:r>
          </w:p>
        </w:tc>
        <w:tc>
          <w:tcPr>
            <w:tcW w:w="2310" w:type="dxa"/>
            <w:vAlign w:val="center"/>
            <w:gridSpan w:val="2"/>
          </w:tcPr>
          <w:p>
            <w:pPr/>
            <w:r>
              <w:rPr>
                <w:lang w:val="zh-CN"/>
                <w:rFonts w:ascii="Times New Roman" w:hAnsi="Times New Roman" w:cs="Times New Roman"/>
                <w:sz w:val="20"/>
                <w:szCs w:val="20"/>
                <w:color w:val="000000"/>
              </w:rPr>
              <w:t>500221199010034127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9、刘芬</w:t>
            </w:r>
          </w:p>
        </w:tc>
        <w:tc>
          <w:tcPr>
            <w:tcW w:w="2310" w:type="dxa"/>
            <w:vAlign w:val="center"/>
            <w:gridSpan w:val="2"/>
          </w:tcPr>
          <w:p>
            <w:pPr/>
            <w:r>
              <w:rPr>
                <w:lang w:val="zh-CN"/>
                <w:rFonts w:ascii="Times New Roman" w:hAnsi="Times New Roman" w:cs="Times New Roman"/>
                <w:sz w:val="20"/>
                <w:szCs w:val="20"/>
                <w:color w:val="000000"/>
              </w:rPr>
              <w:t>500233198406306927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10、蒋承成</w:t>
            </w:r>
          </w:p>
        </w:tc>
        <w:tc>
          <w:tcPr>
            <w:tcW w:w="2310" w:type="dxa"/>
            <w:vAlign w:val="center"/>
            <w:gridSpan w:val="2"/>
          </w:tcPr>
          <w:p>
            <w:pPr/>
            <w:r>
              <w:rPr>
                <w:lang w:val="zh-CN"/>
                <w:rFonts w:ascii="Times New Roman" w:hAnsi="Times New Roman" w:cs="Times New Roman"/>
                <w:sz w:val="20"/>
                <w:szCs w:val="20"/>
                <w:color w:val="000000"/>
              </w:rPr>
              <w:t>500233200801066871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11、郑小红</w:t>
            </w:r>
          </w:p>
        </w:tc>
        <w:tc>
          <w:tcPr>
            <w:tcW w:w="2310" w:type="dxa"/>
            <w:vAlign w:val="center"/>
            <w:gridSpan w:val="2"/>
          </w:tcPr>
          <w:p>
            <w:pPr/>
            <w:r>
              <w:rPr>
                <w:lang w:val="zh-CN"/>
                <w:rFonts w:ascii="Times New Roman" w:hAnsi="Times New Roman" w:cs="Times New Roman"/>
                <w:sz w:val="20"/>
                <w:szCs w:val="20"/>
                <w:color w:val="000000"/>
              </w:rPr>
              <w:t>500223198611120045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12、刘玥辰CHD</w:t>
            </w:r>
          </w:p>
        </w:tc>
        <w:tc>
          <w:tcPr>
            <w:tcW w:w="2310" w:type="dxa"/>
            <w:vAlign w:val="center"/>
            <w:gridSpan w:val="2"/>
          </w:tcPr>
          <w:p>
            <w:pPr/>
            <w:r>
              <w:rPr>
                <w:lang w:val="zh-CN"/>
                <w:rFonts w:ascii="Times New Roman" w:hAnsi="Times New Roman" w:cs="Times New Roman"/>
                <w:sz w:val="20"/>
                <w:szCs w:val="20"/>
                <w:color w:val="000000"/>
              </w:rPr>
              <w:t>500223201609260668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13、张峻畅CHD</w:t>
            </w:r>
          </w:p>
        </w:tc>
        <w:tc>
          <w:tcPr>
            <w:tcW w:w="2310" w:type="dxa"/>
            <w:vAlign w:val="center"/>
            <w:gridSpan w:val="2"/>
          </w:tcPr>
          <w:p>
            <w:pPr/>
            <w:r>
              <w:rPr>
                <w:lang w:val="zh-CN"/>
                <w:rFonts w:ascii="Times New Roman" w:hAnsi="Times New Roman" w:cs="Times New Roman"/>
                <w:sz w:val="20"/>
                <w:szCs w:val="20"/>
                <w:color w:val="000000"/>
              </w:rPr>
              <w:t>500108201003160815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14、李静</w:t>
            </w:r>
          </w:p>
        </w:tc>
        <w:tc>
          <w:tcPr>
            <w:tcW w:w="2310" w:type="dxa"/>
            <w:vAlign w:val="center"/>
            <w:gridSpan w:val="2"/>
          </w:tcPr>
          <w:p>
            <w:pPr/>
            <w:r>
              <w:rPr>
                <w:lang w:val="zh-CN"/>
                <w:rFonts w:ascii="Times New Roman" w:hAnsi="Times New Roman" w:cs="Times New Roman"/>
                <w:sz w:val="20"/>
                <w:szCs w:val="20"/>
                <w:color w:val="000000"/>
              </w:rPr>
              <w:t>511623198802023947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15、许吉彩</w:t>
            </w:r>
          </w:p>
        </w:tc>
        <w:tc>
          <w:tcPr>
            <w:tcW w:w="2310" w:type="dxa"/>
            <w:vAlign w:val="center"/>
            <w:gridSpan w:val="2"/>
          </w:tcPr>
          <w:p>
            <w:pPr/>
            <w:r>
              <w:rPr>
                <w:lang w:val="zh-CN"/>
                <w:rFonts w:ascii="Times New Roman" w:hAnsi="Times New Roman" w:cs="Times New Roman"/>
                <w:sz w:val="20"/>
                <w:szCs w:val="20"/>
                <w:color w:val="000000"/>
              </w:rPr>
              <w:t>522529198910122227</w:t>
            </w:r>
          </w:p>
        </w:tc>
        <w:tc>
          <w:tcPr>
            <w:tcW w:w="2310" w:type="dxa"/>
            <w:vAlign w:val="center"/>
          </w:tcPr>
          <w:p>
            <w:pPr/>
            <w:r>
              <w:rPr>
                <w:lang w:val="zh-CN"/>
                <w:rFonts w:ascii="Times New Roman" w:hAnsi="Times New Roman" w:cs="Times New Roman"/>
                <w:sz w:val="20"/>
                <w:szCs w:val="20"/>
                <w:color w:val="000000"/>
              </w:rPr>
              <w:t>15111928172</w:t>
            </w:r>
          </w:p>
        </w:tc>
        <w:tc>
          <w:tcPr>
            <w:tcW w:w="2310" w:type="dxa"/>
            <w:vAlign w:val="center"/>
          </w:tcPr>
          <w:p>
            <w:pPr/>
            <w:r>
              <w:rPr>
                <w:lang w:val="zh-CN"/>
                <w:rFonts w:ascii="Times New Roman" w:hAnsi="Times New Roman" w:cs="Times New Roman"/>
                <w:sz w:val="20"/>
                <w:szCs w:val="20"/>
                <w:color w:val="000000"/>
              </w:rPr>
              <w:t>16、任娅萱CHD</w:t>
            </w:r>
          </w:p>
        </w:tc>
        <w:tc>
          <w:tcPr>
            <w:tcW w:w="2310" w:type="dxa"/>
            <w:vAlign w:val="center"/>
            <w:gridSpan w:val="2"/>
          </w:tcPr>
          <w:p>
            <w:pPr/>
            <w:r>
              <w:rPr>
                <w:lang w:val="zh-CN"/>
                <w:rFonts w:ascii="Times New Roman" w:hAnsi="Times New Roman" w:cs="Times New Roman"/>
                <w:sz w:val="20"/>
                <w:szCs w:val="20"/>
                <w:color w:val="000000"/>
              </w:rPr>
              <w:t>520423201412192221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1800.00</w:t>
            </w:r>
          </w:p>
        </w:tc>
        <w:tc>
          <w:tcPr>
            <w:tcW w:w="2310" w:type="dxa"/>
          </w:tcPr>
          <w:p>
            <w:pPr/>
            <w:r>
              <w:rPr>
                <w:lang w:val="zh-CN"/>
                <w:rFonts w:ascii="Times New Roman" w:hAnsi="Times New Roman" w:cs="Times New Roman"/>
                <w:sz w:val="20"/>
                <w:szCs w:val="20"/>
                <w:color w:val="000000"/>
              </w:rPr>
              <w:t>19800.00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6500.00</w:t>
            </w:r>
          </w:p>
        </w:tc>
        <w:tc>
          <w:tcPr>
            <w:tcW w:w="2310" w:type="dxa"/>
            <w:gridSpan w:val="2"/>
          </w:tcPr>
          <w:p>
            <w:pPr/>
            <w:r>
              <w:rPr>
                <w:lang w:val="zh-CN"/>
                <w:rFonts w:ascii="Times New Roman" w:hAnsi="Times New Roman" w:cs="Times New Roman"/>
                <w:sz w:val="20"/>
                <w:szCs w:val="20"/>
                <w:color w:val="000000"/>
              </w:rPr>
              <w:t>冉浩睿 刘玥辰 无1.2米</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r>
              <w:rPr>
                <w:lang w:val="zh-CN"/>
                <w:rFonts w:ascii="Times New Roman" w:hAnsi="Times New Roman" w:cs="Times New Roman"/>
                <w:sz w:val="20"/>
                <w:szCs w:val="20"/>
                <w:color w:val="000000"/>
              </w:rPr>
              <w:t>王紫涵 左瑾萱 任娅萱 半价补</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总金额：贰万陆仟玖佰元整</w:t>
            </w:r>
          </w:p>
        </w:tc>
        <w:tc>
          <w:tcPr>
            <w:tcW w:w="2310" w:type="dxa"/>
            <w:textDirection w:val="right"/>
            <w:gridSpan w:val="3"/>
          </w:tcPr>
          <w:p>
            <w:pPr/>
            <w:r>
              <w:rPr>
                <w:lang w:val="zh-CN"/>
                <w:rFonts w:ascii="Times New Roman" w:hAnsi="Times New Roman" w:cs="Times New Roman"/>
                <w:b/>
                <w:color w:val="FF0000"/>
              </w:rPr>
              <w:t>26900.00</w:t>
            </w:r>
          </w:p>
        </w:tc>
      </w:tr>
      <w:tr>
        <w:tc>
          <w:tcPr>
            <w:tcW w:w="2310" w:type="dxa"/>
            <w:gridSpan w:val="8"/>
          </w:tcPr>
          <w:p>
            <w:pPr/>
            <w:r>
              <w:rPr>
                <w:lang w:val="zh-CN"/>
                <w:rFonts w:ascii="Times New Roman" w:hAnsi="Times New Roman" w:cs="Times New Roman"/>
                <w:sz w:val="20"/>
                <w:szCs w:val="20"/>
                <w:color w:val="000000"/>
              </w:rPr>
              <w:t>9号16;15上岛11号13:30下岛 船票已出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工行重庆观音桥支行</w:t>
            </w:r>
          </w:p>
        </w:tc>
        <w:tc>
          <w:tcPr>
            <w:tcW w:w="2310" w:type="dxa"/>
            <w:gridSpan w:val="2"/>
          </w:tcPr>
          <w:p>
            <w:pPr/>
            <w:r>
              <w:rPr>
                <w:lang w:val="zh-CN"/>
                <w:rFonts w:ascii="Times New Roman" w:hAnsi="Times New Roman" w:cs="Times New Roman"/>
                <w:sz w:val="20"/>
                <w:szCs w:val="20"/>
                <w:color w:val="000000"/>
              </w:rPr>
              <w:t>重庆开心国际旅行社有限公司</w:t>
            </w:r>
          </w:p>
        </w:tc>
        <w:tc>
          <w:tcPr>
            <w:tcW w:w="2310" w:type="dxa"/>
            <w:gridSpan w:val="3"/>
          </w:tcPr>
          <w:p>
            <w:pPr/>
            <w:r>
              <w:rPr>
                <w:lang w:val="zh-CN"/>
                <w:rFonts w:ascii="Times New Roman" w:hAnsi="Times New Roman" w:cs="Times New Roman"/>
                <w:sz w:val="20"/>
                <w:szCs w:val="20"/>
                <w:color w:val="000000"/>
              </w:rPr>
              <w:t>3100210109000127272</w:t>
            </w:r>
          </w:p>
        </w:tc>
      </w:tr>
      <w:tr>
        <w:tc>
          <w:tcPr>
            <w:tcW w:w="2310" w:type="dxa"/>
            <w:gridSpan w:val="3"/>
          </w:tcPr>
          <w:p>
            <w:pPr/>
            <w:r>
              <w:rPr>
                <w:lang w:val="zh-CN"/>
                <w:rFonts w:ascii="Times New Roman" w:hAnsi="Times New Roman" w:cs="Times New Roman"/>
                <w:sz w:val="20"/>
                <w:szCs w:val="20"/>
                <w:color w:val="000000"/>
              </w:rPr>
              <w:t>农业银行（重庆分行九龙坡支行）</w:t>
            </w:r>
          </w:p>
        </w:tc>
        <w:tc>
          <w:tcPr>
            <w:tcW w:w="2310" w:type="dxa"/>
            <w:gridSpan w:val="2"/>
          </w:tcPr>
          <w:p>
            <w:pPr/>
            <w:r>
              <w:rPr>
                <w:lang w:val="zh-CN"/>
                <w:rFonts w:ascii="Times New Roman" w:hAnsi="Times New Roman" w:cs="Times New Roman"/>
                <w:sz w:val="20"/>
                <w:szCs w:val="20"/>
                <w:color w:val="000000"/>
              </w:rPr>
              <w:t>黄国英</w:t>
            </w:r>
          </w:p>
        </w:tc>
        <w:tc>
          <w:tcPr>
            <w:tcW w:w="2310" w:type="dxa"/>
            <w:gridSpan w:val="3"/>
          </w:tcPr>
          <w:p>
            <w:pPr/>
            <w:r>
              <w:rPr>
                <w:lang w:val="zh-CN"/>
                <w:rFonts w:ascii="Times New Roman" w:hAnsi="Times New Roman" w:cs="Times New Roman"/>
                <w:sz w:val="20"/>
                <w:szCs w:val="20"/>
                <w:color w:val="000000"/>
              </w:rPr>
              <w:t>6228480478993847175</w:t>
            </w:r>
          </w:p>
        </w:tc>
      </w:tr>
      <w:tr>
        <w:tc>
          <w:tcPr>
            <w:tcW w:w="2310" w:type="dxa"/>
            <w:gridSpan w:val="3"/>
          </w:tcPr>
          <w:p>
            <w:pPr/>
            <w:r>
              <w:rPr>
                <w:lang w:val="zh-CN"/>
                <w:rFonts w:ascii="Times New Roman" w:hAnsi="Times New Roman" w:cs="Times New Roman"/>
                <w:sz w:val="20"/>
                <w:szCs w:val="20"/>
                <w:color w:val="000000"/>
              </w:rPr>
              <w:t>重庆农村商业银行（九龙坡支行）</w:t>
            </w:r>
          </w:p>
        </w:tc>
        <w:tc>
          <w:tcPr>
            <w:tcW w:w="2310" w:type="dxa"/>
            <w:gridSpan w:val="2"/>
          </w:tcPr>
          <w:p>
            <w:pPr/>
            <w:r>
              <w:rPr>
                <w:lang w:val="zh-CN"/>
                <w:rFonts w:ascii="Times New Roman" w:hAnsi="Times New Roman" w:cs="Times New Roman"/>
                <w:sz w:val="20"/>
                <w:szCs w:val="20"/>
                <w:color w:val="000000"/>
              </w:rPr>
              <w:t>黄国英</w:t>
            </w:r>
          </w:p>
        </w:tc>
        <w:tc>
          <w:tcPr>
            <w:tcW w:w="2310" w:type="dxa"/>
            <w:gridSpan w:val="3"/>
          </w:tcPr>
          <w:p>
            <w:pPr/>
            <w:r>
              <w:rPr>
                <w:lang w:val="zh-CN"/>
                <w:rFonts w:ascii="Times New Roman" w:hAnsi="Times New Roman" w:cs="Times New Roman"/>
                <w:sz w:val="20"/>
                <w:szCs w:val="20"/>
                <w:color w:val="000000"/>
              </w:rPr>
              <w:t>6215281100741408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2021/07/08</w:t>
            </w:r>
          </w:p>
        </w:tc>
        <w:tc>
          <w:tcPr>
            <w:tcW w:w="2310" w:type="dxa"/>
            <w:gridSpan w:val="7"/>
          </w:tcPr>
          <w:p>
            <w:pPr/>
            <w:r>
              <w:rPr>
                <w:lang w:val="zh-CN"/>
                <w:rFonts w:ascii="Times New Roman" w:hAnsi="Times New Roman" w:cs="Times New Roman"/>
                <w:b/>
                <w:color w:val="000000"/>
              </w:rPr>
              <w:t>出发地-北海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海接站，晚上可自由感受多姿多彩的南国夜生活。【桥港风情街】晚上可自行前往，侨港风情街是北海最出名的美食街，是北海网红打卡胜地。在晚上，是北海最热闹的街。“侨港炒螺”“越南卷粉”等侨港特色小吃在区内外已有一定的知名度。侨港风情街并不长，立于一端，便可见尽头。一边是渔港码头，一边是金海岸大道，而它就是中间那么一条瘦小的巷路而已。这里居住着许多越南归侨，所以在这个不起眼的小镇上，总是透着一股淡淡的越南风。随处可见的越南斗笠，满大街的越南特产，以及让人留恋的越小吃，浓浓的越南风情，吸引了不少的游客到此一游。侨港风情街的美食是最让人流连忘返的，这里是吃货的天堂，融合了各种北海美食和越南小吃。糖水店、卷粉店海鲜店、烧烤店，清一色的特色小吃，并肩齐眉站了一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早餐：不含；午餐：不含；晚餐：不含；住宿：北海</w:t>
            </w:r>
          </w:p>
        </w:tc>
      </w:tr>
      <w:tr>
        <w:tc>
          <w:tcPr>
            <w:tcW w:w="2310" w:type="dxa"/>
            <w:vAlign w:val="center"/>
            <w:vMerge w:val="restart"/>
          </w:tcPr>
          <w:p>
            <w:pPr/>
            <w:r>
              <w:rPr>
                <w:lang w:val="zh-CN"/>
                <w:rFonts w:ascii="Times New Roman" w:hAnsi="Times New Roman" w:cs="Times New Roman"/>
                <w:sz w:val="20"/>
                <w:szCs w:val="20"/>
                <w:color w:val="000000"/>
              </w:rPr>
              <w:t>2021/07/09</w:t>
            </w:r>
          </w:p>
        </w:tc>
        <w:tc>
          <w:tcPr>
            <w:tcW w:w="2310" w:type="dxa"/>
            <w:gridSpan w:val="7"/>
          </w:tcPr>
          <w:p>
            <w:pPr/>
            <w:r>
              <w:rPr>
                <w:lang w:val="zh-CN"/>
                <w:rFonts w:ascii="Times New Roman" w:hAnsi="Times New Roman" w:cs="Times New Roman"/>
                <w:b/>
                <w:color w:val="000000"/>
              </w:rPr>
              <w:t>北海-涠洲岛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部湾广场】、【观老榕树】、【南珠魂】早餐后，前往“北海客厅”之美誉的-（游览时间不低于30分钟）雕塑前拍照留影，如因道路运输管理处管控，导致无法停车，则该景点改为车览。【百年老街】后游览北海历经沧桑的（游览时间不低于30分钟），老街始建于1883年，长1.44公里，宽9米，沿街遍布英国、法国、德国领事馆旧址，德国森宝洋行旧址和天主教堂女修院旧址等许多中西合璧的骑楼式建筑，见证了北海曾经的繁华，被誉为鲜活的“近现代建筑年鉴”。【涠洲岛】下午，于规定时间乘船前往火山岛（行程约90分钟，注：船票班次以地接社出票为准，快、慢船船票票价一样、航程时间不同），岛上风光秀美，海蚀地貌奇特。主要景点有天主/圣母教堂、三婆庙、南湾海上运动基地海滩、火山口地质公园（不含电瓶车）（游览时间不低于3小时）。2005年10月由《中国国家地理》杂志社主办，全国34家媒体协办的“中国最美的地方”评选活动中涠洲岛被评为“中国最美十大海岛”之一。温馨提示：涠洲岛不属于正规浴场，禁止客人在岛上海面游泳及参加海上其它游玩活动！北海市有关部门提醒游客不要下海游泳和参加海上其它游玩活动，若因游客自身原因导致发生安全及其它事故有游客自身承担一切责任，与我社及导游无关。备注：1、涠洲岛自由活动期间导游不跟团，2、涠洲岛往返交通只有船，受天气影响很大，如遇临时起风等天气不可抗拒因素造成停航退回往返船票费用或换北海市内等同价格景点。温馨提示：涠洲岛不含电瓶车，涠洲岛船票按小船核算。如出大船，补60/人差价;如遇大风、大浪、大雾等不可抗拒因素而停航，我社只负责与客人协调更改行程或退涠洲岛船票及上岛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早餐：含；午餐：含；晚餐：；住宿：涠洲岛</w:t>
            </w:r>
          </w:p>
        </w:tc>
      </w:tr>
      <w:tr>
        <w:tc>
          <w:tcPr>
            <w:tcW w:w="2310" w:type="dxa"/>
            <w:vAlign w:val="center"/>
            <w:vMerge w:val="restart"/>
          </w:tcPr>
          <w:p>
            <w:pPr/>
            <w:r>
              <w:rPr>
                <w:lang w:val="zh-CN"/>
                <w:rFonts w:ascii="Times New Roman" w:hAnsi="Times New Roman" w:cs="Times New Roman"/>
                <w:sz w:val="20"/>
                <w:szCs w:val="20"/>
                <w:color w:val="000000"/>
              </w:rPr>
              <w:t>2021/07/10</w:t>
            </w:r>
          </w:p>
        </w:tc>
        <w:tc>
          <w:tcPr>
            <w:tcW w:w="2310" w:type="dxa"/>
            <w:gridSpan w:val="7"/>
          </w:tcPr>
          <w:p>
            <w:pPr/>
            <w:r>
              <w:rPr>
                <w:lang w:val="zh-CN"/>
                <w:rFonts w:ascii="Times New Roman" w:hAnsi="Times New Roman" w:cs="Times New Roman"/>
                <w:b/>
                <w:color w:val="000000"/>
              </w:rPr>
              <w:t>涠洲岛-涠洲岛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主教堂】早餐后，游览（约30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主标志广场】游览(游览时间不低于10分钟)，作为涠洲岛的标志性建筑，它建在涠洲岛西南部距火山口遗迹附近。主标志碑下，还配套建设有主题广场。涠洲岛主标志广场周围散落着火山喷发后的火山岩体，再加上附近的热带珍稀植物和南湾海港，使得这里成为岛上一处既有观赏价值又有科普价值。【火山口地质公园】（同称鳄鱼山公园）观神秘壮观的海岛之魂—（游览时间约90分钟），这里的火山岩石千姿百态，各种形状都有，奇妙极了，让人不得不感叹大自然的妙笔生花。火山口确实很美，岩层一层一层的，像关于火山喷发的科普书一样，在说着涠洲岛久远的故事。【南湾海上运动基地海滩】游览，海滩上有当地人组织的海底潜水活动，游客可潜水观光海底中国保护最好的海底珊瑚之一。海滩上也有各种海上浏览观光船，可出海半岛浏览海上风光。（海滩上项目均属自费，请游客自行判断参加）或可在沙滩上拾贝、海滩吊床上沐浴阳光、海滩漫步，体验与大海亲密无间的超自然感觉。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早餐：含；午餐：含；晚餐：；住宿：涠洲岛</w:t>
            </w:r>
          </w:p>
        </w:tc>
      </w:tr>
      <w:tr>
        <w:tc>
          <w:tcPr>
            <w:tcW w:w="2310" w:type="dxa"/>
            <w:vAlign w:val="center"/>
            <w:vMerge w:val="restart"/>
          </w:tcPr>
          <w:p>
            <w:pPr/>
            <w:r>
              <w:rPr>
                <w:lang w:val="zh-CN"/>
                <w:rFonts w:ascii="Times New Roman" w:hAnsi="Times New Roman" w:cs="Times New Roman"/>
                <w:sz w:val="20"/>
                <w:szCs w:val="20"/>
                <w:color w:val="000000"/>
              </w:rPr>
              <w:t>2021/07/11</w:t>
            </w:r>
          </w:p>
        </w:tc>
        <w:tc>
          <w:tcPr>
            <w:tcW w:w="2310" w:type="dxa"/>
            <w:gridSpan w:val="7"/>
          </w:tcPr>
          <w:p>
            <w:pPr/>
            <w:r>
              <w:rPr>
                <w:lang w:val="zh-CN"/>
                <w:rFonts w:ascii="Times New Roman" w:hAnsi="Times New Roman" w:cs="Times New Roman"/>
                <w:b/>
                <w:color w:val="000000"/>
              </w:rPr>
              <w:t xml:space="preserve">涠洲岛-北海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船票时间和集合时间准时到达码头乘船下岛。【北海银滩】下午游览（游览时间不低于90分钟）北海银滩以其“滩长平、沙细白、水温净、浪柔软、无鲨鱼”等特点，而被称为“中国第一滩。、北海银滩的沙滩均由高品位的石英砂堆积而成，在阳光的照射下，洁白、细腻的沙滩会泛出银光，故称银滩，北海银滩以其“滩长平、沙细白、水温净、浪柔软、无鲨鱼”等特点，而被称为“天下第一滩”。北海银滩度假区内的海域海水纯净，陆岸植被丰富，环境优雅宁静，空气格外清新。沐浴在轻柔的椰风中，纵情嬉戏于天海之间，或沙滩漫步，或挖螺捉蟹，或畅游大海，或逐浪淘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早餐：含；午餐：不含；晚餐：不含；住宿：北海 </w:t>
            </w:r>
          </w:p>
        </w:tc>
      </w:tr>
      <w:tr>
        <w:tc>
          <w:tcPr>
            <w:tcW w:w="2310" w:type="dxa"/>
            <w:vAlign w:val="center"/>
            <w:vMerge w:val="restart"/>
          </w:tcPr>
          <w:p>
            <w:pPr/>
            <w:r>
              <w:rPr>
                <w:lang w:val="zh-CN"/>
                <w:rFonts w:ascii="Times New Roman" w:hAnsi="Times New Roman" w:cs="Times New Roman"/>
                <w:sz w:val="20"/>
                <w:szCs w:val="20"/>
                <w:color w:val="000000"/>
              </w:rPr>
              <w:t>2021/07/12</w:t>
            </w:r>
          </w:p>
        </w:tc>
        <w:tc>
          <w:tcPr>
            <w:tcW w:w="2310" w:type="dxa"/>
            <w:gridSpan w:val="7"/>
          </w:tcPr>
          <w:p>
            <w:pPr/>
            <w:r>
              <w:rPr>
                <w:lang w:val="zh-CN"/>
                <w:rFonts w:ascii="Times New Roman" w:hAnsi="Times New Roman" w:cs="Times New Roman"/>
                <w:b/>
                <w:color w:val="000000"/>
              </w:rPr>
              <w:t>北海-返程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早餐后自由活动，送站返回重庆，返回温暖的家。-跟团旅游期间导游可根据天气或路况等实际情况更改行程的先后顺序，但不减少游览时间-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北海当地空调VIP旅游车，每人一正座（21座以下的车型均无行李箱），包含北海-涠洲岛往返船票普通舱。住宿：我社不提供自然单间，如出现单男单女由旅行社调整标间内加床或由客人补足房差包房。以下酒店无房的情况下，可安排同等级酒店。如我社拿到比计划酒店档次更高且价格同等的情况下，可以给客人免费升级。北海为国家三线以下旅游城市，酒店各项标准偏低，主要以卫生舒适为主，提前做好心理准备哦！北海参考酒店：钦城酒店、东峰酒店、振林大酒店、桃源海景酒店、银丰快捷酒店、中安商寓、桃源海景酒店、东林假日酒店、琳静酒店、腾云酒店、君泰酒店、拉格比酒店、嘉美假日酒店、春晖商务酒店、嘉龙酒店、锦源商务宾馆、富强商务酒店、御九湾、外沙湾海景酒店、中安商寓、东林假日酒店、建荣快捷酒店、方舟时尚酒店，民航大酒店等同级别酒店。涠洲岛参考酒店：沧海依宿、新村鱼庄、鯨之园客栈、千帆、亲海酒店、87忆栈、万家乐园客栈、客家缘客栈、世宏之家客栈，若水客栈，万家金海苑、五彩滩、回忆渔家、西海湾渔家、万家灯火客栈、涠洲之星、丹屏观海楼、佳家、周家碧海苑、德龙海景、华鑫渔家乐，碧海茗居、香荷小筑等同级别酒店。如客人对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用餐：全程含4早2正（北海餐15元/人/正）景点：景点第一大门票（不含景区电瓶车及自理项目；赠送项目，如遇不可抗拒因素无法成行，门票不退）；此行程为超值特价行程，均已享受打包优惠价，故持有军官证、老年证、残疾证等优惠证件及其他特殊身份人士，无费用可退；若行程中自愿放弃景点、用餐，费用无退还，敬请理解！导游：专业导游讲解服务（不足十人提供导游兼职司机服务），10元/人/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自由活动期间交通费、餐费、等私人费用；2、不提供自然单间，产生单房差或加床费用自理。非免费餐饮费、洗衣、理发、电话、饮料、烟酒、付费电视、行李搬运等费用；3、行程中未提到的其它费用：如特殊门票、游船（轮）、缆车、景区内电瓶车、动车票等费用；4、酒店内儿童早餐费用及儿童报价以外产生的其他费用需游客自理；5、购物场所内消费；6、不含旅游意外保险及航空保险，因旅游者违约、自身过错、自身疾病，导致的人身财产损失而额外支付的费用；7、因交通延误、取消等意外事件或不可抗力原因导致的额外费用；8、“旅游费用包含”内容以外的所有费用。渔家乐游船体验渔家风情（120分钟）：乘渔船出海，欣赏沿途美丽的北部湾风光，观赏美丽的北海外沙以及古朴地角渔村海域风光；远观南海舰队军港；一边品尝美味的小吃及南国的特色水果，我们在船上为您安排了美味的海鲜烧烤，品尝海螺、海鱼的原汁原生态烧烤美味。280元/人2个小时赶海参加渔民沙滩赶海（120分钟）——根据潮涨潮落的时间抵达海边，乘坐快艇抵达沙滩，拿着小扒犁和小竹篓跟随渔民到广阔的沙滩上挖螺、检贝壳，尽情体验赶海的乐趣或者一起去拉大网捕鱼感受、疍家人的集体主义精神，体验渔民生活。280元/人2个小时大江埠大江埠原始公园（因里面都是一些貌似野人的少数民族，又称为野人谷）——展示蛋家人以打鱼为生的水上生活及其独特的花船婚恋习俗；海洋古船文化长廊展出了获得国家专利产品认证的历代王朝、民族英雄及部份商船和海盗船船模，其状怪诞、功能各异，令人叹为观止；神秘聚落区里多民族的民俗、民风、民情.交融在一起138元/人+20元（车、导服）1.5小</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在保证不减少景点的情况下，景点游览先后顺序，以地接社根据实际情况安排为准；使用套票不退单景点门票，因人力不可抗拒因素造成游览行程变化和景点未游，本社只负责退还门票差额，不承担由此造成的损失和责任；如客人临时取消用餐及景点游览，费用不退。如遇客人原因滞留或影响游览景点，所增费用自理。住宿中如产生自然单间，由游客自补足房差。赠送项目如遇特殊原因取消，费用不退。2．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3.报名后游客提出退团的，以实际损失收取游客损失费（如：已出机票已出火车票的票损，房损，以及其他实际产生损失）。4、如游客脱团或参加其他团体，我社视为游客单方面提前终止合同，结束余下行程，因此引起的人身财产安全问题我公司一概不负责，且团费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李姈</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1109345</wp:posOffset>
                        </wp:positionH>
                        <wp:positionV relativeFrom="paragraph">
                          <wp:posOffset>31115</wp:posOffset>
                        </wp:positionV>
                        <wp:extent cx="901065" cy="901700"/>
                        <wp:effectExtent l="0" t="0" r="13335" b="12700"/>
                        <wp:wrapNone/>
                        <wp:docPr id="1" name="图片 1" descr="C:\Users\hjh\Desktop\开心假期.png开心假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jh\Desktop\开心假期.png开心假期"/>
                                <pic:cNvPicPr>
                                  <a:picLocks noChangeAspect="1"/>
                                </pic:cNvPicPr>
                              </pic:nvPicPr>
                              <pic:blipFill>
                                <a:blip r:embed="rId4"/>
                                <a:srcRect/>
                                <a:stretch>
                                  <a:fillRect/>
                                </a:stretch>
                              </pic:blipFill>
                              <pic:spPr>
                                <a:xfrm>
                                  <a:off x="0" y="0"/>
                                  <a:ext cx="901065" cy="901700"/>
                                </a:xfrm>
                                <a:prstGeom prst="rect">
                                  <a:avLst/>
                                </a:prstGeom>
                              </pic:spPr>
                            </pic:pic>
                          </a:graphicData>
                        </a:graphic>
                      </wp:anchor>
                    </w:drawing>
                  </w: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周袁宏</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2021</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2021/7/8 21:28:41</w:t>
      </w:r>
    </w:p>
    <w:p>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05E79E2"/>
    <w:rsid w:val="228E549B"/>
    <w:rsid w:val="28486BB6"/>
    <w:rsid w:val="3046043D"/>
    <w:rsid w:val="4FAD00BA"/>
    <w:rsid w:val="57EB4ACA"/>
    <w:rsid w:val="592A321A"/>
    <w:rsid w:val="5DEE1A86"/>
    <w:rsid w:val="5F69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4</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hjh</cp:lastModifiedBy>
  <dcterms:modified xsi:type="dcterms:W3CDTF">2019-05-20T02:31:29Z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