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枣庄新天澳饮品有限公司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15757577878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LAO06CA251101A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老挝6天5晚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郑郑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2025/10/23 21:54:03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