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成都携程门店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萝莉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18208169263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BXQY-06FJ251022A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冰雪奇缘6天5晚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早酒店出发，专车送九江机场，乘机返海口（参考航班HU7370/11:10-13:15）。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 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            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萝莉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2025/10/15 13:34:58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