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王红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13000000000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四川汇旅天下信息技术有限公司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汇小妹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18989998918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00106CA250415A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泰国曼谷芭提雅双飞6日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gridSpan w:val="8"/>
          </w:tcPr>
          <w:p>
            <w:pPr/>
            <w:r>
              <w:rPr>
                <w:lang w:val="zh-CN"/>
                <w:rFonts w:ascii="Times New Roman" w:hAnsi="Times New Roman" w:cs="Times New Roman"/>
                <w:sz w:val="20"/>
                <w:szCs w:val="20"/>
                <w:color w:val="000000"/>
              </w:rPr>
              <w:t xml:space="preserve">备注说明: </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2025-04-15 CA123 成都→张家界1 11:00-13:00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2025-04-20 CA321 张家界→成都 10:00-13:0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2800.00</w:t>
            </w:r>
          </w:p>
        </w:tc>
        <w:tc>
          <w:tcPr>
            <w:tcW w:w="2310" w:type="dxa"/>
          </w:tcPr>
          <w:p>
            <w:pPr/>
            <w:r>
              <w:rPr>
                <w:lang w:val="zh-CN"/>
                <w:rFonts w:ascii="Times New Roman" w:hAnsi="Times New Roman" w:cs="Times New Roman"/>
                <w:sz w:val="20"/>
                <w:szCs w:val="20"/>
                <w:color w:val="000000"/>
              </w:rPr>
              <w:t>2800.00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总金额：贰仟捌佰元整</w:t>
            </w:r>
          </w:p>
        </w:tc>
        <w:tc>
          <w:tcPr>
            <w:tcW w:w="2310" w:type="dxa"/>
            <w:textDirection w:val="right"/>
            <w:gridSpan w:val="3"/>
          </w:tcPr>
          <w:p>
            <w:pPr/>
            <w:r>
              <w:rPr>
                <w:lang w:val="zh-CN"/>
                <w:rFonts w:ascii="Times New Roman" w:hAnsi="Times New Roman" w:cs="Times New Roman"/>
                <w:b/>
                <w:color w:val="FF0000"/>
              </w:rPr>
              <w:t>2800.00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brother</w:t>
            </w:r>
          </w:p>
        </w:tc>
        <w:tc>
          <w:tcPr>
            <w:tcW w:w="2310" w:type="dxa"/>
            <w:gridSpan w:val="2"/>
          </w:tcPr>
          <w:p>
            <w:pPr/>
            <w:r>
              <w:rPr>
                <w:lang w:val="zh-CN"/>
                <w:rFonts w:ascii="Times New Roman" w:hAnsi="Times New Roman" w:cs="Times New Roman"/>
                <w:sz w:val="20"/>
                <w:szCs w:val="20"/>
                <w:color w:val="000000"/>
              </w:rPr>
              <w:t>贝贝</w:t>
            </w:r>
          </w:p>
        </w:tc>
        <w:tc>
          <w:tcPr>
            <w:tcW w:w="2310" w:type="dxa"/>
            <w:gridSpan w:val="3"/>
          </w:tcPr>
          <w:p>
            <w:pPr/>
            <w:r>
              <w:rPr>
                <w:lang w:val="zh-CN"/>
                <w:rFonts w:ascii="Times New Roman" w:hAnsi="Times New Roman" w:cs="Times New Roman"/>
                <w:sz w:val="20"/>
                <w:szCs w:val="20"/>
                <w:color w:val="000000"/>
              </w:rPr>
              <w:t>9527</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w:t>
            </w:r>
          </w:p>
        </w:tc>
        <w:tc>
          <w:tcPr>
            <w:tcW w:w="2310" w:type="dxa"/>
            <w:gridSpan w:val="3"/>
          </w:tcPr>
          <w:p>
            <w:pPr/>
            <w:r>
              <w:rPr>
                <w:lang w:val="zh-CN"/>
                <w:rFonts w:ascii="Times New Roman" w:hAnsi="Times New Roman" w:cs="Times New Roman"/>
                <w:sz w:val="20"/>
                <w:szCs w:val="20"/>
                <w:color w:val="000000"/>
              </w:rPr>
              <w:t>00000</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w:t>
            </w:r>
          </w:p>
        </w:tc>
      </w:tr>
      <w:tr>
        <w:tc>
          <w:tcPr>
            <w:tcW w:w="2310" w:type="dxa"/>
            <w:gridSpan w:val="3"/>
          </w:tcPr>
          <w:p>
            <w:pPr/>
            <w:r>
              <w:rPr>
                <w:lang w:val="zh-CN"/>
                <w:rFonts w:ascii="Times New Roman" w:hAnsi="Times New Roman" w:cs="Times New Roman"/>
                <w:sz w:val="20"/>
                <w:szCs w:val="20"/>
                <w:color w:val="000000"/>
              </w:rPr>
              <w:t>王刚俄罗斯卡</w:t>
            </w:r>
          </w:p>
        </w:tc>
        <w:tc>
          <w:tcPr>
            <w:tcW w:w="2310" w:type="dxa"/>
            <w:gridSpan w:val="2"/>
          </w:tcPr>
          <w:p>
            <w:pPr/>
            <w:r>
              <w:rPr>
                <w:lang w:val="zh-CN"/>
                <w:rFonts w:ascii="Times New Roman" w:hAnsi="Times New Roman" w:cs="Times New Roman"/>
                <w:sz w:val="20"/>
                <w:szCs w:val="20"/>
                <w:color w:val="000000"/>
              </w:rPr>
              <w:t>王刚</w:t>
            </w:r>
          </w:p>
        </w:tc>
        <w:tc>
          <w:tcPr>
            <w:tcW w:w="2310" w:type="dxa"/>
            <w:gridSpan w:val="3"/>
          </w:tcPr>
          <w:p>
            <w:pPr/>
            <w:r>
              <w:rPr>
                <w:lang w:val="zh-CN"/>
                <w:rFonts w:ascii="Times New Roman" w:hAnsi="Times New Roman" w:cs="Times New Roman"/>
                <w:sz w:val="20"/>
                <w:szCs w:val="20"/>
                <w:color w:val="000000"/>
              </w:rPr>
              <w:t>012157485212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2025/04/15</w:t>
            </w:r>
          </w:p>
        </w:tc>
        <w:tc>
          <w:tcPr>
            <w:tcW w:w="2310" w:type="dxa"/>
            <w:gridSpan w:val="7"/>
          </w:tcPr>
          <w:p>
            <w:pPr/>
            <w:r>
              <w:rPr>
                <w:lang w:val="zh-CN"/>
                <w:rFonts w:ascii="Times New Roman" w:hAnsi="Times New Roman" w:cs="Times New Roman"/>
                <w:b/>
                <w:color w:val="000000"/>
              </w:rPr>
              <w:t>成都✈罗马-佛罗伦萨(飞机)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考航班：3U3895TFU成都天府国际机场T1-FCO罗马菲乌米奇诺机T301:30-06:45飞行时间约11小时仅供参考，以实际出票为准！）抵达后前往古罗马帝国的起源地——【罗马】。如果用“伟大”来形容一个欧洲城市，那么必然是罗马！恢宏大气的建筑与震撼人心的力量令到访者终生难忘。【斗兽场（外观）】是古罗马文明的象征。在这里您可感受一下角斗士们当年在这里面对的荣誉与死亡。【君士坦丁凯旋门】是为了纪念君士坦丁大帝击败马克森提皇帝统一罗马帝国而建的。【圣彼得大教堂（外观）】穹顶由文艺复兴时期的大师米开朗基罗设计，置身其中让你感叹宗教的魅力。?【圣彼得广场】巴洛克风格的建筑布局充分体现了他的设计风格，令人称奇。【方尖碑】位于广场中央，据说罗马皇帝为装饰广场，从远隔重洋的埃及抢来这块石碑，距今近1900年的历史。用晚餐，随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早餐：无；午餐：无；晚餐：团队晚餐；住宿：四星级酒店</w:t>
            </w:r>
          </w:p>
        </w:tc>
      </w:tr>
      <w:tr>
        <w:tc>
          <w:tcPr>
            <w:tcW w:w="2310" w:type="dxa"/>
            <w:vAlign w:val="center"/>
            <w:vMerge w:val="restart"/>
          </w:tcPr>
          <w:p>
            <w:pPr/>
            <w:r>
              <w:rPr>
                <w:lang w:val="zh-CN"/>
                <w:rFonts w:ascii="Times New Roman" w:hAnsi="Times New Roman" w:cs="Times New Roman"/>
                <w:sz w:val="20"/>
                <w:szCs w:val="20"/>
                <w:color w:val="000000"/>
              </w:rPr>
              <w:t>2025/04/16</w:t>
            </w:r>
          </w:p>
        </w:tc>
        <w:tc>
          <w:tcPr>
            <w:tcW w:w="2310" w:type="dxa"/>
            <w:gridSpan w:val="7"/>
          </w:tcPr>
          <w:p>
            <w:pPr/>
            <w:r>
              <w:rPr>
                <w:lang w:val="zh-CN"/>
                <w:rFonts w:ascii="Times New Roman" w:hAnsi="Times New Roman" w:cs="Times New Roman"/>
                <w:b/>
                <w:color w:val="000000"/>
              </w:rPr>
              <w:t>成都(飞机)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指定时间于成都天府国际机场航站楼集合。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早餐：无；午餐：无；晚餐：无；住宿：飞机上</w:t>
            </w:r>
          </w:p>
        </w:tc>
      </w:tr>
      <w:tr>
        <w:tc>
          <w:tcPr>
            <w:tcW w:w="2310" w:type="dxa"/>
            <w:vAlign w:val="center"/>
            <w:vMerge w:val="restart"/>
          </w:tcPr>
          <w:p>
            <w:pPr/>
            <w:r>
              <w:rPr>
                <w:lang w:val="zh-CN"/>
                <w:rFonts w:ascii="Times New Roman" w:hAnsi="Times New Roman" w:cs="Times New Roman"/>
                <w:sz w:val="20"/>
                <w:szCs w:val="20"/>
                <w:color w:val="000000"/>
              </w:rPr>
              <w:t>2025/04/17</w:t>
            </w:r>
          </w:p>
        </w:tc>
        <w:tc>
          <w:tcPr>
            <w:tcW w:w="2310" w:type="dxa"/>
            <w:gridSpan w:val="7"/>
          </w:tcPr>
          <w:p>
            <w:pPr/>
            <w:r>
              <w:rPr>
                <w:lang w:val="zh-CN"/>
                <w:rFonts w:ascii="Times New Roman" w:hAnsi="Times New Roman" w:cs="Times New Roman"/>
                <w:b/>
                <w:color w:val="000000"/>
              </w:rPr>
              <w:t>佛罗伦萨-威尼斯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文艺复兴发源地“翡冷翠”——【佛罗伦萨】。佛罗伦萨是西方文艺复兴的摇篮，历史上很多文化名人在这里出生、活动，保存了大量精美的艺术品和建筑。【圣母百合花大教堂（外观）】建于1296年，被认为是文艺复兴时期建筑的瑰宝，共花了十四年的时间才完成，是世界第四大教堂【乔托钟楼（外观）】位于大教堂旁边，其精致的浮雕、和谐的配色与大教堂相得益彰。【市政厅广场】如一个宏伟的露天雕塑艺术馆，您可在此欣赏不同历史时期的大理石雕塑作品，如大卫像等。【但丁故居（外观）】于1910年建造在但丁住所的遗址上，意在纪念这位伟大的文艺复兴先驱。用晚餐，随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早餐：酒店早餐；午餐：无；晚餐：团队晚餐；住宿：四星级酒店</w:t>
            </w:r>
          </w:p>
        </w:tc>
      </w:tr>
      <w:tr>
        <w:tc>
          <w:tcPr>
            <w:tcW w:w="2310" w:type="dxa"/>
            <w:vAlign w:val="center"/>
            <w:vMerge w:val="restart"/>
          </w:tcPr>
          <w:p>
            <w:pPr/>
            <w:r>
              <w:rPr>
                <w:lang w:val="zh-CN"/>
                <w:rFonts w:ascii="Times New Roman" w:hAnsi="Times New Roman" w:cs="Times New Roman"/>
                <w:sz w:val="20"/>
                <w:szCs w:val="20"/>
                <w:color w:val="000000"/>
              </w:rPr>
              <w:t>2025/04/18</w:t>
            </w:r>
          </w:p>
        </w:tc>
        <w:tc>
          <w:tcPr>
            <w:tcW w:w="2310" w:type="dxa"/>
            <w:gridSpan w:val="7"/>
          </w:tcPr>
          <w:p>
            <w:pPr/>
            <w:r>
              <w:rPr>
                <w:lang w:val="zh-CN"/>
                <w:rFonts w:ascii="Times New Roman" w:hAnsi="Times New Roman" w:cs="Times New Roman"/>
                <w:b/>
                <w:color w:val="000000"/>
              </w:rPr>
              <w:t>威尼斯-因斯布鲁克</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意大利历史文化水上名城——【威尼斯】。全球最浪漫的地方之一、即将消失的城市、最值得去的100个旅游圣地之一。【圣马可广场】周边拥有总督宫、钟楼等精美的文艺复兴时期建筑。【总督宫（外观）】在历史上威尼斯共和国的总督官邸和共和国政府所在地。【钟楼（外观）】位于圣马可广场旁，高98.6米，是威尼斯的地标之一。【圣马可大教堂（外观）】是世界上著名的教堂之一，建筑主要采用拜占庭风格，同时拥有其他各式风格的装饰。【叹息桥（外观）】据说因死囚犯经过这时常常发出叹息而得名。电影《情定日落桥》就是在这里取景的。【原德国商馆原址--威尼斯T广场】它曾经作为威尼斯与北欧贸易的枢纽之地，包括来自东方的香料和丝绸都曾聚集在这里，是西方世界其中一个重要的商品交易所；如今，威尼斯T广场继续传承着历史温馨提示：意大利高速公路休息站洗手间比较随意，有人守门口要付费，0.50欧元/人，无人看守就免费。威尼斯唯一免费洗手间在玻璃工厂里面，其他都收费1.5欧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早餐：酒店早餐；午餐：团队午餐；晚餐：无；住宿：三星级酒店</w:t>
            </w:r>
          </w:p>
        </w:tc>
      </w:tr>
      <w:tr>
        <w:tc>
          <w:tcPr>
            <w:tcW w:w="2310" w:type="dxa"/>
            <w:vAlign w:val="center"/>
            <w:vMerge w:val="restart"/>
          </w:tcPr>
          <w:p>
            <w:pPr/>
            <w:r>
              <w:rPr>
                <w:lang w:val="zh-CN"/>
                <w:rFonts w:ascii="Times New Roman" w:hAnsi="Times New Roman" w:cs="Times New Roman"/>
                <w:sz w:val="20"/>
                <w:szCs w:val="20"/>
                <w:color w:val="000000"/>
              </w:rPr>
              <w:t>2025/04/19</w:t>
            </w:r>
          </w:p>
        </w:tc>
        <w:tc>
          <w:tcPr>
            <w:tcW w:w="2310" w:type="dxa"/>
            <w:gridSpan w:val="7"/>
          </w:tcPr>
          <w:p>
            <w:pPr/>
            <w:r>
              <w:rPr>
                <w:lang w:val="zh-CN"/>
                <w:rFonts w:ascii="Times New Roman" w:hAnsi="Times New Roman" w:cs="Times New Roman"/>
                <w:b/>
                <w:color w:val="000000"/>
              </w:rPr>
              <w:t>因斯布鲁克-新天鹅堡-琉森</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庄早餐后前往位于德奥边境小城，雪山下的奥地利中世纪古城——【因斯布鲁克】。因斯布鲁克是奥地利西南部城市，这座美丽的小城坐落在阿尔卑斯山谷之中，意为“因河”上的桥。【金屋顶】（不少于20分钟）是由2657块镀金铜瓦镶嵌而成的，是因斯布鲁克的标志建筑，它属于晚期哥特式建筑。【马丽安亚那大道】（不少于20分钟）您将能选购到以圣洁和优雅著称的施华洛世奇水晶，价格较国内优惠30%。随后前往德奥边境的德国著名古堡所在小镇——【富森】。富森是拜恩州海拔最高的市镇，高808米。著名的新天鹅堡和旧天鹅堡均位于附近，它们在山端的云间若隐若现，如同梦幻一般。特别安排【新天鹅堡（外观）】是世界上知名的城堡之一。巴伐利亚国王路德维希二世幻想拥有一座城堡如同瓦格纳歌剧中神话世界的场所，中世纪骑士在其中穿梭。于是请来舞台美术设计师（而非建筑师）扬克共同构思，最终将梦想变为不朽的建筑奇迹。周杰伦婚纱照取景地，完美演绎周氏“王子公主风”。在德国巴伐利亚新天鹅堡的大背景下，寻觅白马王子与公主的浪漫童话故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早餐：酒店早餐；午餐：含；晚餐：不含；住宿：三星级酒店</w:t>
            </w:r>
          </w:p>
        </w:tc>
      </w:tr>
      <w:tr>
        <w:tc>
          <w:tcPr>
            <w:tcW w:w="2310" w:type="dxa"/>
            <w:vAlign w:val="center"/>
            <w:vMerge w:val="restart"/>
          </w:tcPr>
          <w:p>
            <w:pPr/>
            <w:r>
              <w:rPr>
                <w:lang w:val="zh-CN"/>
                <w:rFonts w:ascii="Times New Roman" w:hAnsi="Times New Roman" w:cs="Times New Roman"/>
                <w:sz w:val="20"/>
                <w:szCs w:val="20"/>
                <w:color w:val="000000"/>
              </w:rPr>
              <w:t>2025/04/20</w:t>
            </w:r>
          </w:p>
        </w:tc>
        <w:tc>
          <w:tcPr>
            <w:tcW w:w="2310" w:type="dxa"/>
            <w:gridSpan w:val="7"/>
          </w:tcPr>
          <w:p>
            <w:pPr/>
            <w:r>
              <w:rPr>
                <w:lang w:val="zh-CN"/>
                <w:rFonts w:ascii="Times New Roman" w:hAnsi="Times New Roman" w:cs="Times New Roman"/>
                <w:b/>
                <w:color w:val="000000"/>
              </w:rPr>
              <w:t>琉森-第戎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游览瑞士传统旅游胜地、山水画般的小镇——【琉森】。琉森周围湖光山色，常被称为“最瑞士的地方”。【琉森湖畔】琉森是一个湖光山色相互映衬的美丽城市。整座城市犹如瑞士城镇的一幅剪影。【卡柏尔木桥】是琉森的重要标志，是琉森的水上城墙。此桥是一座非常古老的木制廊桥。【垂死狮子像】被马克·吐温称为“世界上最哀伤、最感人的石雕”。温馨提示：劳力士招牌的表店，进门直走到头，左边下楼梯有免费洗手间。湖边游船处，有一免费洗手间，不过很小，不太适合团体。晚餐后，乘车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早餐：酒店早餐；午餐：无；晚餐：团队晚餐；住宿：三星级酒店</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国际往返经济舱机票和燃油附加费；2、签证费（意大利签证）；3、全程共10晚3-4星酒店（意大利四星），酒店双人标准间住宿（含欧陆式早餐）；境外酒店无挂星制度，评核以房间装修为标准;?4、全程8顿正餐：5菜一汤或西式简餐；所有餐食如自动放弃，款项恕不退还；5、全程豪华游览大巴及专业司机；6、中文领队兼导游服务；7、门票包含：卢浮宫（含耳机讲解）、五渔村小火车，塞纳河游船，所有门票如自动放弃，款项恕不退还；8、保险：境外意外保险(最高赔额人民币30万)（突发急性病身故最高赔偿金额为15万，但75-90周岁的老年人保额减半）；9、含全程酒店税服务费</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护照费；2、团费报价以双人间核算，欢迎您结伴参加。若单数报名，须酌收全程单人间差价2850元/人。我们会协助安排您与同性团友拼房，若能顺利调整，则免受单人间差价；3、为遵守欧洲消防法规，满6岁孩童须占床，6岁以下可不占床；欧式建筑房间大小不一，倘若部分标间获酒店善意升级，非本司所能掌控，亦无区别待遇，敬请您谅解；4、洗衣、理发、电话、饮料、烟酒、付费电视、行李搬运等私人费用；5、行李海关课税，超重行李托运费、管理费；6、行程中未提及的其他费用，如特殊门票、游船（轮）、缆车、地铁票等费用；7、因交通延阻、罢工、大风、大雾、航班取消或更改时间等人力不可抗拒原因所引致的额外费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温馨提示：【请您仔细阅读以下重要内容】1.根据国际航班团队的搭乘要求,团队须提前3个小时到达机场办理登机手续.2.最后确认出发集中日期时间及最终行程酒店确认会在出团前两天给予您。3.如遇到景点因发生罢工或其他不可预计的情况而关闭，与本社无关；在当前形式下容易发生境外接待社、国内组团,代理社所不能控制的“不可抗拒原因”所造成的意外事件如遇战争,天灾及航空公司停运或破产,旅行社的工作人员会尽力协助客人解决问题.但由此造成的损失只能由客人自己承担。4、由于近期欧洲治安混乱，请客人在旅行期间保管好自身财物！旅行期间包括行李托运过程中若发生客人财务遗失或被盗，旅行社和导游将积极协助报案并尽量找回失窃财物，旅行社和导游不承担财物被盗的损失赔偿！5、退税说明：退税是欧洲对非欧盟游客的一项优惠政策，一些商店当场退税，一些商店需要出欧盟时在机场办理退税，导游会向您介绍退税详情并协助您，但这毕竟是欧洲政府运作的，领队不能承担退税失败的任何赔偿。购物属个人行为，如果由于商店和海关无合同或飞机晚点、银行关门、海关检查时间紧迫等原因不能及时退税的，很抱歉我社不能承担相关退税责任。（若选择退税到信用卡或者某些已在商店里拿到了现金退税，都必须将已盖海关章的退税单寄回退税公司，存在一定的风险，若退税单在邮寄的过程中丢失，则无法获得退税款项，因此产生的损失，很抱歉我社不能承担！为了方便后期查询退税情况，请在邮寄税单之前先将税单拍照留底）。【重要告知：旅行者定团后取消所收损失】：1、定金交付后，我社会付至航空公司，任何情况下取消不退。2、出团前第5个工作日及以前取消(出票前)：收取机票定金+签证损失=合计5000元/人；3、出签后取消（出票后）：收取总团款的80%损失费！4、出团前1个工作日取消：收取总团款的90%损失费！5、出团当天取消：收取总团款的100%损失费！6、享受如果被拒签，团费全退的待遇。若客人自身原因被拒签费用不退(例如:提供假资料、不接使馆电话等》。【销签注意事项】：1.按照欧洲各使馆规定，凡办理团队签证的客人，回国后须立即把护照、登机牌全部交给导游送我司交领馆注销签证（销签的时间决定于使馆），以保证客人在领馆有良好的记录，便于下次的签证能顺利申请，谢谢理解与配合！若完团后不交回护照和登机牌销签，您将可能永远被列入使馆的黑名单，严重影响今后的各国签证申请！！！谨请注意！！！2.按照欧洲各使馆规定，会抽查团队的客人进行回国面试销签。使馆通知的时间不一定，有时会在出团前通知，有时会在旅行途中通知，也有回国后再通知的。请客人做好被通知面试销签的准备，且所有面试费用均由客人自理。说明：1、以上签证费用包含签证费，使馆指定签证中心服务费，我社签证人员劳力成本，资料复印打印及快递、飞机托运等成本。恕不讲价，谢谢您的理解与配合。2、航空公司淡旺季机票有差异，我社有权收取旺季浮动差价。我社向航空公司付款为半年-全年付款制，恕不提供相应损失发票及单据。</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王红</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汇小妹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18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2025/4/18 10:09:09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