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测试系统2222团队/散客确认书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携程西航港门市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测试系统2222</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OUZ13FJ240613A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欧洲德法瑞意4国13天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2024-06-13 CA123 成都→张家界 10:00-13:00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2024-06-25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1、杨天</w:t>
            </w:r>
          </w:p>
        </w:tc>
        <w:tc>
          <w:tcPr>
            <w:tcW w:w="2310" w:type="dxa"/>
            <w:vAlign w:val="center"/>
          </w:tcPr>
          <w:p>
            <w:pPr/>
            <w:r>
              <w:rPr>
                <w:lang w:val="zh-CN"/>
                <w:rFonts w:ascii="Times New Roman" w:hAnsi="Times New Roman" w:cs="Times New Roman"/>
                <w:sz w:val="20"/>
                <w:szCs w:val="20"/>
                <w:color w:val="000000"/>
              </w:rPr>
              <w:t>YANG/TIAN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1989-09-16</w:t>
            </w:r>
          </w:p>
        </w:tc>
        <w:tc>
          <w:tcPr>
            <w:tcW w:w="2310" w:type="dxa"/>
            <w:vAlign w:val="center"/>
          </w:tcPr>
          <w:p>
            <w:pPr/>
            <w:r>
              <w:rPr>
                <w:lang w:val="zh-CN"/>
                <w:rFonts w:ascii="Times New Roman" w:hAnsi="Times New Roman" w:cs="Times New Roman"/>
                <w:sz w:val="20"/>
                <w:szCs w:val="20"/>
                <w:color w:val="000000"/>
              </w:rPr>
              <w:t>EE6464832</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2018-11-22</w:t>
            </w:r>
          </w:p>
        </w:tc>
        <w:tc>
          <w:tcPr>
            <w:tcW w:w="2310" w:type="dxa"/>
            <w:vAlign w:val="center"/>
          </w:tcPr>
          <w:p>
            <w:pPr/>
            <w:r>
              <w:rPr>
                <w:lang w:val="zh-CN"/>
                <w:rFonts w:ascii="Times New Roman" w:hAnsi="Times New Roman" w:cs="Times New Roman"/>
                <w:sz w:val="20"/>
                <w:szCs w:val="20"/>
                <w:color w:val="000000"/>
              </w:rPr>
              <w:t>2028-11-21</w:t>
            </w:r>
          </w:p>
        </w:tc>
      </w:tr>
      <w:tr>
        <w:tc>
          <w:tcPr>
            <w:tcW w:w="2310" w:type="dxa"/>
            <w:vAlign w:val="center"/>
          </w:tcPr>
          <w:p>
            <w:pPr/>
            <w:r>
              <w:rPr>
                <w:lang w:val="zh-CN"/>
                <w:rFonts w:ascii="Times New Roman" w:hAnsi="Times New Roman" w:cs="Times New Roman"/>
                <w:sz w:val="20"/>
                <w:szCs w:val="20"/>
                <w:color w:val="000000"/>
              </w:rPr>
              <w:t>2、江聃</w:t>
            </w:r>
          </w:p>
        </w:tc>
        <w:tc>
          <w:tcPr>
            <w:tcW w:w="2310" w:type="dxa"/>
            <w:vAlign w:val="center"/>
          </w:tcPr>
          <w:p>
            <w:pPr/>
            <w:r>
              <w:rPr>
                <w:lang w:val="zh-CN"/>
                <w:rFonts w:ascii="Times New Roman" w:hAnsi="Times New Roman" w:cs="Times New Roman"/>
                <w:sz w:val="20"/>
                <w:szCs w:val="20"/>
                <w:color w:val="000000"/>
              </w:rPr>
              <w:t>JIANG/DAN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1985-01-26</w:t>
            </w:r>
          </w:p>
        </w:tc>
        <w:tc>
          <w:tcPr>
            <w:tcW w:w="2310" w:type="dxa"/>
            <w:vAlign w:val="center"/>
          </w:tcPr>
          <w:p>
            <w:pPr/>
            <w:r>
              <w:rPr>
                <w:lang w:val="zh-CN"/>
                <w:rFonts w:ascii="Times New Roman" w:hAnsi="Times New Roman" w:cs="Times New Roman"/>
                <w:sz w:val="20"/>
                <w:szCs w:val="20"/>
                <w:color w:val="000000"/>
              </w:rPr>
              <w:t>EK5975495</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2023-06-21</w:t>
            </w:r>
          </w:p>
        </w:tc>
        <w:tc>
          <w:tcPr>
            <w:tcW w:w="2310" w:type="dxa"/>
            <w:vAlign w:val="center"/>
          </w:tcPr>
          <w:p>
            <w:pPr/>
            <w:r>
              <w:rPr>
                <w:lang w:val="zh-CN"/>
                <w:rFonts w:ascii="Times New Roman" w:hAnsi="Times New Roman" w:cs="Times New Roman"/>
                <w:sz w:val="20"/>
                <w:szCs w:val="20"/>
                <w:color w:val="000000"/>
              </w:rPr>
              <w:t>2033-06-20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20760.00</w:t>
            </w:r>
          </w:p>
        </w:tc>
        <w:tc>
          <w:tcPr>
            <w:tcW w:w="2310" w:type="dxa"/>
          </w:tcPr>
          <w:p>
            <w:pPr/>
            <w:r>
              <w:rPr>
                <w:lang w:val="zh-CN"/>
                <w:rFonts w:ascii="Times New Roman" w:hAnsi="Times New Roman" w:cs="Times New Roman"/>
                <w:sz w:val="20"/>
                <w:szCs w:val="20"/>
                <w:color w:val="000000"/>
              </w:rPr>
              <w:t>41520.00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总金额：肆万壹仟叁佰贰拾元整</w:t>
            </w:r>
          </w:p>
        </w:tc>
        <w:tc>
          <w:tcPr>
            <w:tcW w:w="2310" w:type="dxa"/>
            <w:textDirection w:val="right"/>
            <w:gridSpan w:val="3"/>
          </w:tcPr>
          <w:p>
            <w:pPr/>
            <w:r>
              <w:rPr>
                <w:lang w:val="zh-CN"/>
                <w:rFonts w:ascii="Times New Roman" w:hAnsi="Times New Roman" w:cs="Times New Roman"/>
                <w:b/>
                <w:color w:val="FF0000"/>
              </w:rPr>
              <w:t>41320.00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实际出票为准！） ?抵达后前往古罗马帝国的起源地——【罗马】。如果用“伟大”来形容一个欧洲城市，那么必然是罗马！恢宏大气的建筑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与震撼人心的力量令到访者终生难忘。 ?【斗兽场（外观）】是古罗马文明的象征。在这里您可感受一下角斗士们当年在这里面对的荣誉与死亡。 ?【君士坦丁凯旋门】是为了纪念君士坦丁大帝击败马克森提皇帝统一罗马帝国而建的。 ?【圣彼得大教堂（外观）】穹顶由文艺复兴时期的大师米开朗基罗设计，置身其中让你感叹宗教的魅力。 ?【圣彼得广场】巴洛克风格的建筑布局充分体现了他的设计风格，令人称奇。 ?【方尖碑】位于广场中央，据说罗马皇帝为装饰广场，从远隔重洋的埃及抢来这块石碑，距今近1900年的历史。 ?用晚餐，随后前往酒店入住休息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这里出生、活动，保存了大量精美的艺术品和建筑。 ?【圣母百合花大教堂（外观）】建于1296年，被认为是文艺复兴时期建筑的瑰宝，共花了十四年的时间才完成，是世界第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四大教堂 ?【乔托钟楼（外观）】位于大教堂旁边，其精致的浮雕、和谐的配色与大教堂相得益彰。 ?【市政厅广场】如一个宏伟的露天雕塑艺术馆，您可在此欣赏不同历史时期的大理石雕塑作品，如大卫像等。 ?【但丁故居（外观）】于1910年建造在但丁住所的遗址上，意在纪念这位伟大的文艺复兴先驱。 ?用晚餐，随后前往酒店入住休息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旅游圣地之一。 ?【圣马可广场】周边拥有总督宫、钟楼等精美的文艺复兴时期建筑。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?【总督宫（外观）】在历史上威尼斯共和国的总督官邸和共和国政府所在地。 ?【钟楼（外观）】位于圣马可广场旁，高98.6米，是威尼斯的地标之一。 ?【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里，是西方世界其中一个重要的商品交易所；如今，威尼斯T广场继续传承着历史 ?温馨提示：意大利高速公路休息站洗手间比较随意，有人守门口要付费，0.50欧元/人，无人看守就免费。?威尼斯唯一免费洗手间在玻璃工厂里面，其他都收费1.5欧元。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这座美丽的小城坐落在阿尔卑斯山谷之中，意为“因河”上的桥。 ?【金屋顶】（不少于20分钟）是由2657块镀金铜瓦镶嵌而成的，是因斯布鲁克的标志建筑，它属于晚期哥特式建筑。 ?【马丽安亚那大道】（不少于20分钟）您将能选购到以圣洁和优雅著称的施华洛世奇水晶，价格较国内优惠30%。 ?随后前往德奥边境的德国著名古堡所在小镇——【富森】。富森是拜恩州海拔最高的市镇，高808米。著名的新天鹅堡和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旧天鹅堡均位于附近，它们在山端的云间若隐若现，如同梦幻一般。 ?特别安排【新天鹅堡（外观）】是世界上知名的城堡之一。巴伐利亚国王路德维希二世幻想拥有一座城堡如同瓦格纳歌剧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中神话世界的场所，中世纪骑士在其中穿梭。于是请来舞台美术设计师（而非建筑师）扬克共同构思，最终将梦想变为不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朽的建筑奇迹。周杰伦婚纱照取景地，完美演绎周氏“王子公主风”。在德国巴伐利亚新天鹅堡的大背景下，寻觅白马王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 ?【琉森湖畔】琉森是一个湖光山色相互映衬的美丽城市。整座城市犹如瑞士城镇的一幅剪影。 ?【卡柏尔木桥】是琉森的重要标志，是琉森的水上城墙。此桥是一座非常古老的木制廊桥。 ?【垂死狮子像】被马克·吐温称为“世界上最哀伤、最感人的石雕”。 ?温馨提示：劳力士招牌的表店，进门直走到头，左边下楼梯有免费洗手间。湖边游船处，有一免费洗手间，不过很小，不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太适合团体。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第戎-巴黎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?酒店早餐后,乘车前往游览欧洲久负盛名的“花都”——【巴黎】。巴黎是世界上深受欢迎的旅游城市之一，有“花都”、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“光之城”、“浪漫之都”的美誉，城市人文荟萃，到处洋溢着浓郁的文化气息。 ?【埃菲尔铁塔（不上塔）】建成于1889年，为纪念法国革命100周年，是无可争议的巴黎的象征。 ?【战神广场】是一个广大的带状公园，位在其西北方的正式埃菲尔铁塔，广场的名称来自罗马的战神广场。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?酒店早餐后前往【卢浮宫（含耳机讲解）】世界三大博物馆之一，拥有八百多年历史的卢浮宫是您不可错过的参观圣地，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馆藏珍宝不计其数。?【协和广场】南面而望，占据您视野的是法国国民议会大厦，庄严壮观。?【香榭丽舍大道】香榭丽舍大道是一条美丽醉人的大街，绿树成行，是闹市中一块不可多得的清幽之处。 ?【凯旋门】历史建筑凯旋门，门上的浮雕《马赛曲》仿佛在演奏，让人不禁感慨其巧妙的设计及精美的工艺。?特别安排【塞纳河游船】船行约1小时，沿岸可以看到诸多名胜，如卢浮宫、大王宫、小王宫、奥赛博物馆、巴黎圣母院。?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巴黎-里昂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?酒店早餐后，【花宫娜香水博物馆（入内）】带你领略法国香水之祖“花宫娜”品牌的历史渊源，从不一样的角度感受法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兰西文化。?随后【奥斯曼大道】自由活动，奥斯曼大道位于巴黎第八区和第九区之间。街上有巴黎老佛爷百货公司和春天百货两大百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货公司。 ?前往【莎玛丽丹百货】周杰伦MV取景地，巴黎塞纳河畔的地标建筑。这座拥有150多年历史的建筑，是传统与创新的完美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融合，就像周杰伦第15张个人专辑里的主打歌一样，是一件[最伟大的作品]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里昂-安纳西-意大利小镇</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?酒店早餐后,前往被称为“阿尔卑斯山的阳台”的——【安纳西】。中世纪小城安纳西背靠阿尔卑斯山，城镇东南有美丽的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安纳西湖，当漫步在老城和湖边的时候，你会感觉这座城市她那迷人的魅力。?【中皇岛】是安纳西标志性的古代建筑。鲜花、流水、彩色房屋，绝美的搭配，自然美在这里被诠释得淋漓尽致。 ?【爱情桥】卢梭在《忏悔录》中描写了他安纳西度过的人生中最美好的青年时光，他在这里邂逅并爱上了美丽的华伦夫人。 ?【安纳西湖畔】眺望远处连绵起伏的阿尔卑斯山脉，无疑是人生一大快事。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早餐：酒店早餐；午餐：团队午餐；晚餐：无；住宿：四星级酒店</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意大利小镇-五渔村-罗马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?酒店早餐,后前往被列为世界文化遗产名录的意大利国家公园——【五渔村】。五渔村，一译“五乡地”、“五台堡”，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位于意大利西北利古里亚漫长而迷人的海岸线上，由5座依山傍海的渔村组成。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第九天：巴黎-里昂餐：酒店早餐/自理/自理住：三星级酒店 ?特别安排：【五渔村观光】五渔村是五个依山傍海的小村庄，俯瞰着地中海的北岸。依着山势开垦出房舍与田园，保留着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原始的自然美，堪称与世隔绝的世外桃源，被联合国教科文组织列为世界遗产。她们的名字分别是：里奥马乔列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（Riomaggiore）、马纳罗拉（Manarola）、克里日亚（Corniglia）、韦尔纳扎（Vernazza）、蒙特罗索（Monterosso）。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（选择其中1个村庄观光游览）特别安排：五渔村观光火车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早餐：酒店早餐；午餐：无；晚餐：无；住宿：四星级酒店</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罗马✈成都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?酒店早餐后前往机场，搭乘航班返回温馨的家。 ?参考航班：3U3896FCO罗马菲乌米奇诺机T3-TFU成都天府国际机场T114：15-06：20+1飞行时间约10小时仅供参考，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以实际出票为准！）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?抵达后散团，结束愉快的旅行！?【销签注意事项】： ?1.按照欧洲各使馆规定，凡办理团队签证的客人，回国后须立即把护照、登机牌全部交给导游送我司交领馆注销签证（销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签的时间决定于使馆），以保证客人在领馆有良好的记录，便于下次的签证能顺利申请，谢谢理解与配合！若完团后不交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回护照和登机牌销签，您将可能永远被列入使馆的黑名单，严重影响今后的各国签证申请！！！谨请注意！！！ ?2.按照欧洲各使馆规定，会抽查团队的客人进行回国面试销签。使馆通知的时间不一定，有时会在出团前通知，有时会在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旅行途中通知，也有回国后再通知的。请客人做好被通知面试销签的准备，且所有面试费用均由客人自理。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间住宿（含欧陆式早餐）；境外酒店无挂星制度，评核以房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间装修为标准;4、全程8顿正餐：5菜一汤或西式简餐；所有餐食如自动放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弃，款项恕不退还；5、全程豪华游览大巴及专业司机；6、中文领队兼导游服务；7、门票包含：卢浮宫（含耳机讲解）、五渔村小火车，塞纳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河游船，所有门票如自动放弃，款项恕不退还；8、保险：境外意外保险(最高赔额人民币30万)（突发急性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病身故最高赔偿金额为15万，但75-90周岁的老年人保额减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单人间差价2850元/人。我们会协助安排您与同性团友拼房，若能顺利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调整，则免受单人间差价；3、为遵守欧洲消防法规，满6岁孩童须占床，6岁以下可不占床；欧式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建筑房间大小不一，倘若部分标间获酒店善意升级，非本司所能掌控，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亦无区别待遇，敬请您谅解；4、洗衣、理发、电话、饮料、烟酒、付费电视、行李搬运等私人费用；5、行李海关课税，超重行李托运费、管理费；6、行程中未提及的其他费用，如特殊门票、游船（轮）、缆车、地铁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等费用；7、因交通延阻、罢工、大风、大雾、航班取消或更改时间等人力不可抗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团,代理社所不能控制的“不可抗拒原因”所造成的意外事件如遇战争,天灾及航空公司停运或破产,旅行社的工作人员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会尽力协助客人解决问题.但由此造成的损失只能由客人自己承担。4、由于近期欧洲治安混乱，请客人在旅行期间保管好自身财物！旅行期间包括行李托运过程中若发生客人财务遗失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被盗，旅行社和导游将积极协助报案并尽量找回失窃财物，旅行社和导游不承担财物被盗的损失赔偿！5、退税说明：退税是欧洲对非欧盟游客的一项优惠政策，一些商店当场退税，一些商店需要出欧盟时在机场办理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税，导游会向您介绍退税详情并协助您，但这毕竟是欧洲政府运作的，领队不能承担退税失败的任何赔偿。购物属个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人行为，如果由于商店和海关无合同或飞机晚点、银行关门、海关检查时间紧迫等原因不能及时退税的，很抱歉我社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不能承担相关退税责任。（若选择退税到信用卡或者某些已在商店里拿到了现金退税，都必须将已盖海关章的退税单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寄回退税公司，存在一定的风险，若退税单在邮寄的过程中丢失，则无法获得退税款项，因此产生的损失，很抱歉我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（销签的时间决定于使馆），以保证客人在领馆有良好的记录，便于下次的签证能顺利申请，谢谢理解与配合！若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完团后不交回护照和登机牌销签，您将可能永远被列入使馆的黑名单，严重影响今后的各国签证申请！！！谨请注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意！！！2.按照欧洲各使馆规定，会抽查团队的客人进行回国面试销签。使馆通知的时间不一定，有时会在出团前通知，有时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2024/7/3 12:12:41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