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汇旅通团队/散客确认书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同行旅行社同行旅行社</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Yoshi</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18205159661</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四川汇旅天下信息技术有限公司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汇小妹</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18628395053</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ZTC11TR260804A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BJ-DB-HMZTC【海漠直通车】双卧十一日</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2026-08-04</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2026-08-14</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3(3大)</w:t>
            </w:r>
          </w:p>
        </w:tc>
      </w:tr>
      <w:tr>
        <w:tc>
          <w:tcPr>
            <w:tcW w:w="2310" w:type="dxa"/>
            <w:gridSpan w:val="8"/>
          </w:tcPr>
          <w:p>
            <w:pPr/>
            <w:r>
              <w:rPr>
                <w:lang w:val="zh-CN"/>
                <w:rFonts w:ascii="Times New Roman" w:hAnsi="Times New Roman" w:cs="Times New Roman"/>
                <w:sz w:val="20"/>
                <w:szCs w:val="20"/>
                <w:color w:val="000000"/>
              </w:rPr>
              <w:t>备注说明:重要提示：请仔细检查，名单一旦出错不可更改，只能退票后重买，造成损失，我社不予负责，出票名单以贵社提供的客人名单为准；具体航班时间及行程内容请参照出团通知。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3</w:t>
            </w:r>
          </w:p>
        </w:tc>
        <w:tc>
          <w:tcPr>
            <w:tcW w:w="2310" w:type="dxa"/>
          </w:tcPr>
          <w:p>
            <w:pPr/>
            <w:r>
              <w:rPr>
                <w:lang w:val="zh-CN"/>
                <w:rFonts w:ascii="Times New Roman" w:hAnsi="Times New Roman" w:cs="Times New Roman"/>
                <w:sz w:val="20"/>
                <w:szCs w:val="20"/>
                <w:color w:val="000000"/>
              </w:rPr>
              <w:t>1880.00</w:t>
            </w:r>
          </w:p>
        </w:tc>
        <w:tc>
          <w:tcPr>
            <w:tcW w:w="2310" w:type="dxa"/>
          </w:tcPr>
          <w:p>
            <w:pPr/>
            <w:r>
              <w:rPr>
                <w:lang w:val="zh-CN"/>
                <w:rFonts w:ascii="Times New Roman" w:hAnsi="Times New Roman" w:cs="Times New Roman"/>
                <w:sz w:val="20"/>
                <w:szCs w:val="20"/>
                <w:color w:val="000000"/>
              </w:rPr>
              <w:t>5640.00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总金额：伍仟陆佰肆拾元整</w:t>
            </w:r>
          </w:p>
        </w:tc>
        <w:tc>
          <w:tcPr>
            <w:tcW w:w="2310" w:type="dxa"/>
            <w:textDirection w:val="right"/>
            <w:gridSpan w:val="3"/>
          </w:tcPr>
          <w:p>
            <w:pPr/>
            <w:r>
              <w:rPr>
                <w:lang w:val="zh-CN"/>
                <w:rFonts w:ascii="Times New Roman" w:hAnsi="Times New Roman" w:cs="Times New Roman"/>
                <w:b/>
                <w:color w:val="FF0000"/>
              </w:rPr>
              <w:t>5640.00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工商银行</w:t>
            </w:r>
          </w:p>
        </w:tc>
        <w:tc>
          <w:tcPr>
            <w:tcW w:w="2310" w:type="dxa"/>
            <w:gridSpan w:val="2"/>
          </w:tcPr>
          <w:p>
            <w:pPr/>
            <w:r>
              <w:rPr>
                <w:lang w:val="zh-CN"/>
                <w:rFonts w:ascii="Times New Roman" w:hAnsi="Times New Roman" w:cs="Times New Roman"/>
                <w:sz w:val="20"/>
                <w:szCs w:val="20"/>
                <w:color w:val="000000"/>
              </w:rPr>
              <w:t>成都汇旅</w:t>
            </w:r>
          </w:p>
        </w:tc>
        <w:tc>
          <w:tcPr>
            <w:tcW w:w="2310" w:type="dxa"/>
            <w:gridSpan w:val="3"/>
          </w:tcPr>
          <w:p>
            <w:pPr/>
            <w:r>
              <w:rPr>
                <w:lang w:val="zh-CN"/>
                <w:rFonts w:ascii="Times New Roman" w:hAnsi="Times New Roman" w:cs="Times New Roman"/>
                <w:sz w:val="20"/>
                <w:szCs w:val="20"/>
                <w:color w:val="000000"/>
              </w:rPr>
              <w:t>12345</w:t>
            </w:r>
          </w:p>
        </w:tc>
      </w:tr>
      <w:tr>
        <w:tc>
          <w:tcPr>
            <w:tcW w:w="2310" w:type="dxa"/>
            <w:gridSpan w:val="3"/>
          </w:tcPr>
          <w:p>
            <w:pPr/>
            <w:r>
              <w:rPr>
                <w:lang w:val="zh-CN"/>
                <w:rFonts w:ascii="Times New Roman" w:hAnsi="Times New Roman" w:cs="Times New Roman"/>
                <w:sz w:val="20"/>
                <w:szCs w:val="20"/>
                <w:color w:val="000000"/>
              </w:rPr>
              <w:t>银行1</w:t>
            </w:r>
          </w:p>
        </w:tc>
        <w:tc>
          <w:tcPr>
            <w:tcW w:w="2310" w:type="dxa"/>
            <w:gridSpan w:val="2"/>
          </w:tcPr>
          <w:p>
            <w:pPr/>
            <w:r>
              <w:rPr>
                <w:lang w:val="zh-CN"/>
                <w:rFonts w:ascii="Times New Roman" w:hAnsi="Times New Roman" w:cs="Times New Roman"/>
                <w:sz w:val="20"/>
                <w:szCs w:val="20"/>
                <w:color w:val="000000"/>
              </w:rPr>
              <w:t>254652</w:t>
            </w:r>
          </w:p>
        </w:tc>
        <w:tc>
          <w:tcPr>
            <w:tcW w:w="2310" w:type="dxa"/>
            <w:gridSpan w:val="3"/>
          </w:tcPr>
          <w:p>
            <w:pPr/>
            <w:r>
              <w:rPr>
                <w:lang w:val="zh-CN"/>
                <w:rFonts w:ascii="Times New Roman" w:hAnsi="Times New Roman" w:cs="Times New Roman"/>
                <w:sz w:val="20"/>
                <w:szCs w:val="20"/>
                <w:color w:val="000000"/>
              </w:rPr>
              <w:t>000</w:t>
            </w:r>
          </w:p>
        </w:tc>
      </w:tr>
      <w:tr>
        <w:tc>
          <w:tcPr>
            <w:tcW w:w="2310" w:type="dxa"/>
            <w:gridSpan w:val="3"/>
          </w:tcPr>
          <w:p>
            <w:pPr/>
            <w:r>
              <w:rPr>
                <w:lang w:val="zh-CN"/>
                <w:rFonts w:ascii="Times New Roman" w:hAnsi="Times New Roman" w:cs="Times New Roman"/>
                <w:sz w:val="20"/>
                <w:szCs w:val="20"/>
                <w:color w:val="000000"/>
              </w:rPr>
              <w:t>信用卡01</w:t>
            </w:r>
          </w:p>
        </w:tc>
        <w:tc>
          <w:tcPr>
            <w:tcW w:w="2310" w:type="dxa"/>
            <w:gridSpan w:val="2"/>
          </w:tcPr>
          <w:p>
            <w:pPr/>
            <w:r>
              <w:rPr>
                <w:lang w:val="zh-CN"/>
                <w:rFonts w:ascii="Times New Roman" w:hAnsi="Times New Roman" w:cs="Times New Roman"/>
                <w:sz w:val="20"/>
                <w:szCs w:val="20"/>
                <w:color w:val="000000"/>
              </w:rPr>
              <w:t>875954</w:t>
            </w:r>
          </w:p>
        </w:tc>
        <w:tc>
          <w:tcPr>
            <w:tcW w:w="2310" w:type="dxa"/>
            <w:gridSpan w:val="3"/>
          </w:tcPr>
          <w:p>
            <w:pPr/>
            <w:r>
              <w:rPr>
                <w:lang w:val="zh-CN"/>
                <w:rFonts w:ascii="Times New Roman" w:hAnsi="Times New Roman" w:cs="Times New Roman"/>
                <w:sz w:val="20"/>
                <w:szCs w:val="20"/>
                <w:color w:val="000000"/>
              </w:rPr>
              <w:t>0001</w:t>
            </w:r>
          </w:p>
        </w:tc>
      </w:tr>
      <w:tr>
        <w:tc>
          <w:tcPr>
            <w:tcW w:w="2310" w:type="dxa"/>
            <w:gridSpan w:val="3"/>
          </w:tcPr>
          <w:p>
            <w:pPr/>
            <w:r>
              <w:rPr>
                <w:lang w:val="zh-CN"/>
                <w:rFonts w:ascii="Times New Roman" w:hAnsi="Times New Roman" w:cs="Times New Roman"/>
                <w:sz w:val="20"/>
                <w:szCs w:val="20"/>
                <w:color w:val="000000"/>
              </w:rPr>
              <w:t>银3898</w:t>
            </w:r>
          </w:p>
        </w:tc>
        <w:tc>
          <w:tcPr>
            <w:tcW w:w="2310" w:type="dxa"/>
            <w:gridSpan w:val="2"/>
          </w:tcPr>
          <w:p>
            <w:pPr/>
            <w:r>
              <w:rPr>
                <w:lang w:val="zh-CN"/>
                <w:rFonts w:ascii="Times New Roman" w:hAnsi="Times New Roman" w:cs="Times New Roman"/>
                <w:sz w:val="20"/>
                <w:szCs w:val="20"/>
                <w:color w:val="000000"/>
              </w:rPr>
              <w:t>542671</w:t>
            </w:r>
          </w:p>
        </w:tc>
        <w:tc>
          <w:tcPr>
            <w:tcW w:w="2310" w:type="dxa"/>
            <w:gridSpan w:val="3"/>
          </w:tcPr>
          <w:p>
            <w:pPr/>
            <w:r>
              <w:rPr>
                <w:lang w:val="zh-CN"/>
                <w:rFonts w:ascii="Times New Roman" w:hAnsi="Times New Roman" w:cs="Times New Roman"/>
                <w:sz w:val="20"/>
                <w:szCs w:val="20"/>
                <w:color w:val="000000"/>
              </w:rPr>
              <w:t>0002</w:t>
            </w:r>
          </w:p>
        </w:tc>
      </w:tr>
      <w:tr>
        <w:tc>
          <w:tcPr>
            <w:tcW w:w="2310" w:type="dxa"/>
            <w:gridSpan w:val="3"/>
          </w:tcPr>
          <w:p>
            <w:pPr/>
            <w:r>
              <w:rPr>
                <w:lang w:val="zh-CN"/>
                <w:rFonts w:ascii="Times New Roman" w:hAnsi="Times New Roman" w:cs="Times New Roman"/>
                <w:sz w:val="20"/>
                <w:szCs w:val="20"/>
                <w:color w:val="000000"/>
              </w:rPr>
              <w:t>微信账户002</w:t>
            </w:r>
          </w:p>
        </w:tc>
        <w:tc>
          <w:tcPr>
            <w:tcW w:w="2310" w:type="dxa"/>
            <w:gridSpan w:val="2"/>
          </w:tcPr>
          <w:p>
            <w:pPr/>
            <w:r>
              <w:rPr>
                <w:lang w:val="zh-CN"/>
                <w:rFonts w:ascii="Times New Roman" w:hAnsi="Times New Roman" w:cs="Times New Roman"/>
                <w:sz w:val="20"/>
                <w:szCs w:val="20"/>
                <w:color w:val="000000"/>
              </w:rPr>
              <w:t>张三</w:t>
            </w:r>
          </w:p>
        </w:tc>
        <w:tc>
          <w:tcPr>
            <w:tcW w:w="2310" w:type="dxa"/>
            <w:gridSpan w:val="3"/>
          </w:tcPr>
          <w:p>
            <w:pPr/>
            <w:r>
              <w:rPr>
                <w:lang w:val="zh-CN"/>
                <w:rFonts w:ascii="Times New Roman" w:hAnsi="Times New Roman" w:cs="Times New Roman"/>
                <w:sz w:val="20"/>
                <w:szCs w:val="20"/>
                <w:color w:val="000000"/>
              </w:rPr>
              <w:t>0003</w:t>
            </w:r>
          </w:p>
        </w:tc>
      </w:tr>
      <w:tr>
        <w:tc>
          <w:tcPr>
            <w:tcW w:w="2310" w:type="dxa"/>
            <w:gridSpan w:val="3"/>
          </w:tcPr>
          <w:p>
            <w:pPr/>
            <w:r>
              <w:rPr>
                <w:lang w:val="zh-CN"/>
                <w:rFonts w:ascii="Times New Roman" w:hAnsi="Times New Roman" w:cs="Times New Roman"/>
                <w:sz w:val="20"/>
                <w:szCs w:val="20"/>
                <w:color w:val="000000"/>
              </w:rPr>
              <w:t>brother</w:t>
            </w:r>
          </w:p>
        </w:tc>
        <w:tc>
          <w:tcPr>
            <w:tcW w:w="2310" w:type="dxa"/>
            <w:gridSpan w:val="2"/>
          </w:tcPr>
          <w:p>
            <w:pPr/>
            <w:r>
              <w:rPr>
                <w:lang w:val="zh-CN"/>
                <w:rFonts w:ascii="Times New Roman" w:hAnsi="Times New Roman" w:cs="Times New Roman"/>
                <w:sz w:val="20"/>
                <w:szCs w:val="20"/>
                <w:color w:val="000000"/>
              </w:rPr>
              <w:t>贝贝</w:t>
            </w:r>
          </w:p>
        </w:tc>
        <w:tc>
          <w:tcPr>
            <w:tcW w:w="2310" w:type="dxa"/>
            <w:gridSpan w:val="3"/>
          </w:tcPr>
          <w:p>
            <w:pPr/>
            <w:r>
              <w:rPr>
                <w:lang w:val="zh-CN"/>
                <w:rFonts w:ascii="Times New Roman" w:hAnsi="Times New Roman" w:cs="Times New Roman"/>
                <w:sz w:val="20"/>
                <w:szCs w:val="20"/>
                <w:color w:val="000000"/>
              </w:rPr>
              <w:t>9527</w:t>
            </w:r>
          </w:p>
        </w:tc>
      </w:tr>
      <w:tr>
        <w:tc>
          <w:tcPr>
            <w:tcW w:w="2310" w:type="dxa"/>
            <w:gridSpan w:val="3"/>
          </w:tcPr>
          <w:p>
            <w:pPr/>
            <w:r>
              <w:rPr>
                <w:lang w:val="zh-CN"/>
                <w:rFonts w:ascii="Times New Roman" w:hAnsi="Times New Roman" w:cs="Times New Roman"/>
                <w:sz w:val="20"/>
                <w:szCs w:val="20"/>
                <w:color w:val="000000"/>
              </w:rPr>
              <w:t>成都银行</w:t>
            </w:r>
          </w:p>
        </w:tc>
        <w:tc>
          <w:tcPr>
            <w:tcW w:w="2310" w:type="dxa"/>
            <w:gridSpan w:val="2"/>
          </w:tcPr>
          <w:p>
            <w:pPr/>
            <w:r>
              <w:rPr>
                <w:lang w:val="zh-CN"/>
                <w:rFonts w:ascii="Times New Roman" w:hAnsi="Times New Roman" w:cs="Times New Roman"/>
                <w:sz w:val="20"/>
                <w:szCs w:val="20"/>
                <w:color w:val="000000"/>
              </w:rPr>
              <w:t>大发交通</w:t>
            </w:r>
          </w:p>
        </w:tc>
        <w:tc>
          <w:tcPr>
            <w:tcW w:w="2310" w:type="dxa"/>
            <w:gridSpan w:val="3"/>
          </w:tcPr>
          <w:p>
            <w:pPr/>
            <w:r>
              <w:rPr>
                <w:lang w:val="zh-CN"/>
                <w:rFonts w:ascii="Times New Roman" w:hAnsi="Times New Roman" w:cs="Times New Roman"/>
                <w:sz w:val="20"/>
                <w:szCs w:val="20"/>
                <w:color w:val="000000"/>
              </w:rPr>
              <w:t>00007777</w:t>
            </w:r>
          </w:p>
        </w:tc>
      </w:tr>
      <w:tr>
        <w:tc>
          <w:tcPr>
            <w:tcW w:w="2310" w:type="dxa"/>
            <w:gridSpan w:val="3"/>
          </w:tcPr>
          <w:p>
            <w:pPr/>
            <w:r>
              <w:rPr>
                <w:lang w:val="zh-CN"/>
                <w:rFonts w:ascii="Times New Roman" w:hAnsi="Times New Roman" w:cs="Times New Roman"/>
                <w:sz w:val="20"/>
                <w:szCs w:val="20"/>
                <w:color w:val="000000"/>
              </w:rPr>
              <w:t>9090</w:t>
            </w:r>
          </w:p>
        </w:tc>
        <w:tc>
          <w:tcPr>
            <w:tcW w:w="2310" w:type="dxa"/>
            <w:gridSpan w:val="2"/>
          </w:tcPr>
          <w:p>
            <w:pPr/>
            <w:r>
              <w:rPr>
                <w:lang w:val="zh-CN"/>
                <w:rFonts w:ascii="Times New Roman" w:hAnsi="Times New Roman" w:cs="Times New Roman"/>
                <w:sz w:val="20"/>
                <w:szCs w:val="20"/>
                <w:color w:val="000000"/>
              </w:rPr>
              <w:t>8989</w:t>
            </w:r>
          </w:p>
        </w:tc>
        <w:tc>
          <w:tcPr>
            <w:tcW w:w="2310" w:type="dxa"/>
            <w:gridSpan w:val="3"/>
          </w:tcPr>
          <w:p>
            <w:pPr/>
            <w:r>
              <w:rPr>
                <w:lang w:val="zh-CN"/>
                <w:rFonts w:ascii="Times New Roman" w:hAnsi="Times New Roman" w:cs="Times New Roman"/>
                <w:sz w:val="20"/>
                <w:szCs w:val="20"/>
                <w:color w:val="000000"/>
              </w:rPr>
              <w:t>222</w:t>
            </w:r>
          </w:p>
        </w:tc>
      </w:tr>
      <w:tr>
        <w:tc>
          <w:tcPr>
            <w:tcW w:w="2310" w:type="dxa"/>
            <w:gridSpan w:val="3"/>
          </w:tcPr>
          <w:p>
            <w:pPr/>
            <w:r>
              <w:rPr>
                <w:lang w:val="zh-CN"/>
                <w:rFonts w:ascii="Times New Roman" w:hAnsi="Times New Roman" w:cs="Times New Roman"/>
                <w:sz w:val="20"/>
                <w:szCs w:val="20"/>
                <w:color w:val="000000"/>
              </w:rPr>
              <w:t>工商银行</w:t>
            </w:r>
          </w:p>
        </w:tc>
        <w:tc>
          <w:tcPr>
            <w:tcW w:w="2310" w:type="dxa"/>
            <w:gridSpan w:val="2"/>
          </w:tcPr>
          <w:p>
            <w:pPr/>
            <w:r>
              <w:rPr>
                <w:lang w:val="zh-CN"/>
                <w:rFonts w:ascii="Times New Roman" w:hAnsi="Times New Roman" w:cs="Times New Roman"/>
                <w:sz w:val="20"/>
                <w:szCs w:val="20"/>
                <w:color w:val="000000"/>
              </w:rPr>
              <w:t>1231</w:t>
            </w:r>
          </w:p>
        </w:tc>
        <w:tc>
          <w:tcPr>
            <w:tcW w:w="2310" w:type="dxa"/>
            <w:gridSpan w:val="3"/>
          </w:tcPr>
          <w:p>
            <w:pPr/>
            <w:r>
              <w:rPr>
                <w:lang w:val="zh-CN"/>
                <w:rFonts w:ascii="Times New Roman" w:hAnsi="Times New Roman" w:cs="Times New Roman"/>
                <w:sz w:val="20"/>
                <w:szCs w:val="20"/>
                <w:color w:val="000000"/>
              </w:rPr>
              <w:t>8888888</w:t>
            </w:r>
          </w:p>
        </w:tc>
      </w:tr>
      <w:tr>
        <w:tc>
          <w:tcPr>
            <w:tcW w:w="2310" w:type="dxa"/>
            <w:gridSpan w:val="3"/>
          </w:tcPr>
          <w:p>
            <w:pPr/>
            <w:r>
              <w:rPr>
                <w:lang w:val="zh-CN"/>
                <w:rFonts w:ascii="Times New Roman" w:hAnsi="Times New Roman" w:cs="Times New Roman"/>
                <w:sz w:val="20"/>
                <w:szCs w:val="20"/>
                <w:color w:val="000000"/>
              </w:rPr>
              <w:t>支付宝</w:t>
            </w:r>
          </w:p>
        </w:tc>
        <w:tc>
          <w:tcPr>
            <w:tcW w:w="2310" w:type="dxa"/>
            <w:gridSpan w:val="2"/>
          </w:tcPr>
          <w:p>
            <w:pPr/>
            <w:r>
              <w:rPr>
                <w:lang w:val="zh-CN"/>
                <w:rFonts w:ascii="Times New Roman" w:hAnsi="Times New Roman" w:cs="Times New Roman"/>
                <w:sz w:val="20"/>
                <w:szCs w:val="20"/>
                <w:color w:val="000000"/>
              </w:rPr>
              <w:t>支付宝</w:t>
            </w:r>
          </w:p>
        </w:tc>
        <w:tc>
          <w:tcPr>
            <w:tcW w:w="2310" w:type="dxa"/>
            <w:gridSpan w:val="3"/>
          </w:tcPr>
          <w:p>
            <w:pPr/>
            <w:r>
              <w:rPr>
                <w:lang w:val="zh-CN"/>
                <w:rFonts w:ascii="Times New Roman" w:hAnsi="Times New Roman" w:cs="Times New Roman"/>
                <w:sz w:val="20"/>
                <w:szCs w:val="20"/>
                <w:color w:val="000000"/>
              </w:rPr>
              <w:t>12222</w:t>
            </w:r>
          </w:p>
        </w:tc>
      </w:tr>
      <w:tr>
        <w:tc>
          <w:tcPr>
            <w:tcW w:w="2310" w:type="dxa"/>
            <w:gridSpan w:val="3"/>
          </w:tcPr>
          <w:p>
            <w:pPr/>
            <w:r>
              <w:rPr>
                <w:lang w:val="zh-CN"/>
                <w:rFonts w:ascii="Times New Roman" w:hAnsi="Times New Roman" w:cs="Times New Roman"/>
                <w:sz w:val="20"/>
                <w:szCs w:val="20"/>
                <w:color w:val="000000"/>
              </w:rPr>
              <w:t>成都银行</w:t>
            </w:r>
          </w:p>
        </w:tc>
        <w:tc>
          <w:tcPr>
            <w:tcW w:w="2310" w:type="dxa"/>
            <w:gridSpan w:val="2"/>
          </w:tcPr>
          <w:p>
            <w:pPr/>
            <w:r>
              <w:rPr>
                <w:lang w:val="zh-CN"/>
                <w:rFonts w:ascii="Times New Roman" w:hAnsi="Times New Roman" w:cs="Times New Roman"/>
                <w:sz w:val="20"/>
                <w:szCs w:val="20"/>
                <w:color w:val="000000"/>
              </w:rPr>
              <w:t>汇旅天下</w:t>
            </w:r>
          </w:p>
        </w:tc>
        <w:tc>
          <w:tcPr>
            <w:tcW w:w="2310" w:type="dxa"/>
            <w:gridSpan w:val="3"/>
          </w:tcPr>
          <w:p>
            <w:pPr/>
            <w:r>
              <w:rPr>
                <w:lang w:val="zh-CN"/>
                <w:rFonts w:ascii="Times New Roman" w:hAnsi="Times New Roman" w:cs="Times New Roman"/>
                <w:sz w:val="20"/>
                <w:szCs w:val="20"/>
                <w:color w:val="000000"/>
              </w:rPr>
              <w:t>000088881</w:t>
            </w:r>
          </w:p>
        </w:tc>
      </w:tr>
      <w:tr>
        <w:tc>
          <w:tcPr>
            <w:tcW w:w="2310" w:type="dxa"/>
            <w:gridSpan w:val="3"/>
          </w:tcPr>
          <w:p>
            <w:pPr/>
            <w:r>
              <w:rPr>
                <w:lang w:val="zh-CN"/>
                <w:rFonts w:ascii="Times New Roman" w:hAnsi="Times New Roman" w:cs="Times New Roman"/>
                <w:sz w:val="20"/>
                <w:szCs w:val="20"/>
                <w:color w:val="000000"/>
              </w:rPr>
              <w:t>11</w:t>
            </w:r>
          </w:p>
        </w:tc>
        <w:tc>
          <w:tcPr>
            <w:tcW w:w="2310" w:type="dxa"/>
            <w:gridSpan w:val="2"/>
          </w:tcPr>
          <w:p>
            <w:pPr/>
            <w:r>
              <w:rPr>
                <w:lang w:val="zh-CN"/>
                <w:rFonts w:ascii="Times New Roman" w:hAnsi="Times New Roman" w:cs="Times New Roman"/>
                <w:sz w:val="20"/>
                <w:szCs w:val="20"/>
                <w:color w:val="000000"/>
              </w:rPr>
              <w:t>11</w:t>
            </w:r>
          </w:p>
        </w:tc>
        <w:tc>
          <w:tcPr>
            <w:tcW w:w="2310" w:type="dxa"/>
            <w:gridSpan w:val="3"/>
          </w:tcPr>
          <w:p>
            <w:pPr/>
            <w:r>
              <w:rPr>
                <w:lang w:val="zh-CN"/>
                <w:rFonts w:ascii="Times New Roman" w:hAnsi="Times New Roman" w:cs="Times New Roman"/>
                <w:sz w:val="20"/>
                <w:szCs w:val="20"/>
                <w:color w:val="000000"/>
              </w:rPr>
              <w:t>00008888.</w:t>
            </w:r>
          </w:p>
        </w:tc>
      </w:tr>
      <w:tr>
        <w:tc>
          <w:tcPr>
            <w:tcW w:w="2310" w:type="dxa"/>
            <w:gridSpan w:val="3"/>
          </w:tcPr>
          <w:p>
            <w:pPr/>
            <w:r>
              <w:rPr>
                <w:lang w:val="zh-CN"/>
                <w:rFonts w:ascii="Times New Roman" w:hAnsi="Times New Roman" w:cs="Times New Roman"/>
                <w:sz w:val="20"/>
                <w:szCs w:val="20"/>
                <w:color w:val="000000"/>
              </w:rPr>
              <w:t>中国银行</w:t>
            </w:r>
          </w:p>
        </w:tc>
        <w:tc>
          <w:tcPr>
            <w:tcW w:w="2310" w:type="dxa"/>
            <w:gridSpan w:val="2"/>
          </w:tcPr>
          <w:p>
            <w:pPr/>
            <w:r>
              <w:rPr>
                <w:lang w:val="zh-CN"/>
                <w:rFonts w:ascii="Times New Roman" w:hAnsi="Times New Roman" w:cs="Times New Roman"/>
                <w:sz w:val="20"/>
                <w:szCs w:val="20"/>
                <w:color w:val="000000"/>
              </w:rPr>
              <w:t>吃饭</w:t>
            </w:r>
          </w:p>
        </w:tc>
        <w:tc>
          <w:tcPr>
            <w:tcW w:w="2310" w:type="dxa"/>
            <w:gridSpan w:val="3"/>
          </w:tcPr>
          <w:p>
            <w:pPr/>
            <w:r>
              <w:rPr>
                <w:lang w:val="zh-CN"/>
                <w:rFonts w:ascii="Times New Roman" w:hAnsi="Times New Roman" w:cs="Times New Roman"/>
                <w:sz w:val="20"/>
                <w:szCs w:val="20"/>
                <w:color w:val="000000"/>
              </w:rPr>
              <w:t>00002222222</w:t>
            </w:r>
          </w:p>
        </w:tc>
      </w:tr>
      <w:tr>
        <w:tc>
          <w:tcPr>
            <w:tcW w:w="2310" w:type="dxa"/>
            <w:gridSpan w:val="3"/>
          </w:tcPr>
          <w:p>
            <w:pPr/>
            <w:r>
              <w:rPr>
                <w:lang w:val="zh-CN"/>
                <w:rFonts w:ascii="Times New Roman" w:hAnsi="Times New Roman" w:cs="Times New Roman"/>
                <w:sz w:val="20"/>
                <w:szCs w:val="20"/>
                <w:color w:val="000000"/>
              </w:rPr>
              <w:t>广西银行</w:t>
            </w:r>
          </w:p>
        </w:tc>
        <w:tc>
          <w:tcPr>
            <w:tcW w:w="2310" w:type="dxa"/>
            <w:gridSpan w:val="2"/>
          </w:tcPr>
          <w:p>
            <w:pPr/>
            <w:r>
              <w:rPr>
                <w:lang w:val="zh-CN"/>
                <w:rFonts w:ascii="Times New Roman" w:hAnsi="Times New Roman" w:cs="Times New Roman"/>
                <w:sz w:val="20"/>
                <w:szCs w:val="20"/>
                <w:color w:val="000000"/>
              </w:rPr>
              <w:t>小可爱</w:t>
            </w:r>
          </w:p>
        </w:tc>
        <w:tc>
          <w:tcPr>
            <w:tcW w:w="2310" w:type="dxa"/>
            <w:gridSpan w:val="3"/>
          </w:tcPr>
          <w:p>
            <w:pPr/>
            <w:r>
              <w:rPr>
                <w:lang w:val="zh-CN"/>
                <w:rFonts w:ascii="Times New Roman" w:hAnsi="Times New Roman" w:cs="Times New Roman"/>
                <w:sz w:val="20"/>
                <w:szCs w:val="20"/>
                <w:color w:val="000000"/>
              </w:rPr>
              <w:t>121121</w:t>
            </w:r>
          </w:p>
        </w:tc>
      </w:tr>
      <w:tr>
        <w:tc>
          <w:tcPr>
            <w:tcW w:w="2310" w:type="dxa"/>
            <w:gridSpan w:val="3"/>
          </w:tcPr>
          <w:p>
            <w:pPr/>
            <w:r>
              <w:rPr>
                <w:lang w:val="zh-CN"/>
                <w:rFonts w:ascii="Times New Roman" w:hAnsi="Times New Roman" w:cs="Times New Roman"/>
                <w:sz w:val="20"/>
                <w:szCs w:val="20"/>
                <w:color w:val="000000"/>
              </w:rPr>
              <w:t>攀枝花银行</w:t>
            </w:r>
          </w:p>
        </w:tc>
        <w:tc>
          <w:tcPr>
            <w:tcW w:w="2310" w:type="dxa"/>
            <w:gridSpan w:val="2"/>
          </w:tcPr>
          <w:p>
            <w:pPr/>
            <w:r>
              <w:rPr>
                <w:lang w:val="zh-CN"/>
                <w:rFonts w:ascii="Times New Roman" w:hAnsi="Times New Roman" w:cs="Times New Roman"/>
                <w:sz w:val="20"/>
                <w:szCs w:val="20"/>
                <w:color w:val="000000"/>
              </w:rPr>
              <w:t>攀枝花</w:t>
            </w:r>
          </w:p>
        </w:tc>
        <w:tc>
          <w:tcPr>
            <w:tcW w:w="2310" w:type="dxa"/>
            <w:gridSpan w:val="3"/>
          </w:tcPr>
          <w:p>
            <w:pPr/>
            <w:r>
              <w:rPr>
                <w:lang w:val="zh-CN"/>
                <w:rFonts w:ascii="Times New Roman" w:hAnsi="Times New Roman" w:cs="Times New Roman"/>
                <w:sz w:val="20"/>
                <w:szCs w:val="20"/>
                <w:color w:val="000000"/>
              </w:rPr>
              <w:t>0005</w:t>
            </w:r>
          </w:p>
        </w:tc>
      </w:tr>
      <w:tr>
        <w:tc>
          <w:tcPr>
            <w:tcW w:w="2310" w:type="dxa"/>
            <w:gridSpan w:val="3"/>
          </w:tcPr>
          <w:p>
            <w:pPr/>
            <w:r>
              <w:rPr>
                <w:lang w:val="zh-CN"/>
                <w:rFonts w:ascii="Times New Roman" w:hAnsi="Times New Roman" w:cs="Times New Roman"/>
                <w:sz w:val="20"/>
                <w:szCs w:val="20"/>
                <w:color w:val="000000"/>
              </w:rPr>
              <w:t>兴业银行</w:t>
            </w:r>
          </w:p>
        </w:tc>
        <w:tc>
          <w:tcPr>
            <w:tcW w:w="2310" w:type="dxa"/>
            <w:gridSpan w:val="2"/>
          </w:tcPr>
          <w:p>
            <w:pPr/>
            <w:r>
              <w:rPr>
                <w:lang w:val="zh-CN"/>
                <w:rFonts w:ascii="Times New Roman" w:hAnsi="Times New Roman" w:cs="Times New Roman"/>
                <w:sz w:val="20"/>
                <w:szCs w:val="20"/>
                <w:color w:val="000000"/>
              </w:rPr>
              <w:t>张萌萌</w:t>
            </w:r>
          </w:p>
        </w:tc>
        <w:tc>
          <w:tcPr>
            <w:tcW w:w="2310" w:type="dxa"/>
            <w:gridSpan w:val="3"/>
          </w:tcPr>
          <w:p>
            <w:pPr/>
            <w:r>
              <w:rPr>
                <w:lang w:val="zh-CN"/>
                <w:rFonts w:ascii="Times New Roman" w:hAnsi="Times New Roman" w:cs="Times New Roman"/>
                <w:sz w:val="20"/>
                <w:szCs w:val="20"/>
                <w:color w:val="000000"/>
              </w:rPr>
              <w:t>00000000</w:t>
            </w:r>
          </w:p>
        </w:tc>
      </w:tr>
      <w:tr>
        <w:tc>
          <w:tcPr>
            <w:tcW w:w="2310" w:type="dxa"/>
            <w:gridSpan w:val="3"/>
          </w:tcPr>
          <w:p>
            <w:pPr/>
            <w:r>
              <w:rPr>
                <w:lang w:val="zh-CN"/>
                <w:rFonts w:ascii="Times New Roman" w:hAnsi="Times New Roman" w:cs="Times New Roman"/>
                <w:sz w:val="20"/>
                <w:szCs w:val="20"/>
                <w:color w:val="000000"/>
              </w:rPr>
              <w:t>公司账号</w:t>
            </w:r>
          </w:p>
        </w:tc>
        <w:tc>
          <w:tcPr>
            <w:tcW w:w="2310" w:type="dxa"/>
            <w:gridSpan w:val="2"/>
          </w:tcPr>
          <w:p>
            <w:pPr/>
            <w:r>
              <w:rPr>
                <w:lang w:val="zh-CN"/>
                <w:rFonts w:ascii="Times New Roman" w:hAnsi="Times New Roman" w:cs="Times New Roman"/>
                <w:sz w:val="20"/>
                <w:szCs w:val="20"/>
                <w:color w:val="000000"/>
              </w:rPr>
              <w:t>358251</w:t>
            </w:r>
          </w:p>
        </w:tc>
        <w:tc>
          <w:tcPr>
            <w:tcW w:w="2310" w:type="dxa"/>
            <w:gridSpan w:val="3"/>
          </w:tcPr>
          <w:p>
            <w:pPr/>
            <w:r>
              <w:rPr>
                <w:lang w:val="zh-CN"/>
                <w:rFonts w:ascii="Times New Roman" w:hAnsi="Times New Roman" w:cs="Times New Roman"/>
                <w:sz w:val="20"/>
                <w:szCs w:val="20"/>
                <w:color w:val="000000"/>
              </w:rPr>
              <w:t>0000022323</w:t>
            </w:r>
          </w:p>
        </w:tc>
      </w:tr>
      <w:tr>
        <w:tc>
          <w:tcPr>
            <w:tcW w:w="2310" w:type="dxa"/>
            <w:gridSpan w:val="3"/>
          </w:tcPr>
          <w:p>
            <w:pPr/>
            <w:r>
              <w:rPr>
                <w:lang w:val="zh-CN"/>
                <w:rFonts w:ascii="Times New Roman" w:hAnsi="Times New Roman" w:cs="Times New Roman"/>
                <w:sz w:val="20"/>
                <w:szCs w:val="20"/>
                <w:color w:val="000000"/>
              </w:rPr>
              <w:t>微信零钱</w:t>
            </w:r>
          </w:p>
        </w:tc>
        <w:tc>
          <w:tcPr>
            <w:tcW w:w="2310" w:type="dxa"/>
            <w:gridSpan w:val="2"/>
          </w:tcPr>
          <w:p>
            <w:pPr/>
            <w:r>
              <w:rPr>
                <w:lang w:val="zh-CN"/>
                <w:rFonts w:ascii="Times New Roman" w:hAnsi="Times New Roman" w:cs="Times New Roman"/>
                <w:sz w:val="20"/>
                <w:szCs w:val="20"/>
                <w:color w:val="000000"/>
              </w:rPr>
              <w:t>1</w:t>
            </w:r>
          </w:p>
        </w:tc>
        <w:tc>
          <w:tcPr>
            <w:tcW w:w="2310" w:type="dxa"/>
            <w:gridSpan w:val="3"/>
          </w:tcPr>
          <w:p>
            <w:pPr/>
            <w:r>
              <w:rPr>
                <w:lang w:val="zh-CN"/>
                <w:rFonts w:ascii="Times New Roman" w:hAnsi="Times New Roman" w:cs="Times New Roman"/>
                <w:sz w:val="20"/>
                <w:szCs w:val="20"/>
                <w:color w:val="000000"/>
              </w:rPr>
              <w:t>1223424</w:t>
            </w:r>
          </w:p>
        </w:tc>
      </w:tr>
      <w:tr>
        <w:tc>
          <w:tcPr>
            <w:tcW w:w="2310" w:type="dxa"/>
            <w:gridSpan w:val="3"/>
          </w:tcPr>
          <w:p>
            <w:pPr/>
            <w:r>
              <w:rPr>
                <w:lang w:val="zh-CN"/>
                <w:rFonts w:ascii="Times New Roman" w:hAnsi="Times New Roman" w:cs="Times New Roman"/>
                <w:sz w:val="20"/>
                <w:szCs w:val="20"/>
                <w:color w:val="000000"/>
              </w:rPr>
              <w:t>СБЕР БАНК LIU</w:t>
            </w:r>
          </w:p>
        </w:tc>
        <w:tc>
          <w:tcPr>
            <w:tcW w:w="2310" w:type="dxa"/>
            <w:gridSpan w:val="2"/>
          </w:tcPr>
          <w:p>
            <w:pPr/>
            <w:r>
              <w:rPr>
                <w:lang w:val="zh-CN"/>
                <w:rFonts w:ascii="Times New Roman" w:hAnsi="Times New Roman" w:cs="Times New Roman"/>
                <w:sz w:val="20"/>
                <w:szCs w:val="20"/>
                <w:color w:val="000000"/>
              </w:rPr>
              <w:t>LIU</w:t>
            </w:r>
          </w:p>
        </w:tc>
        <w:tc>
          <w:tcPr>
            <w:tcW w:w="2310" w:type="dxa"/>
            <w:gridSpan w:val="3"/>
          </w:tcPr>
          <w:p>
            <w:pPr/>
            <w:r>
              <w:rPr>
                <w:lang w:val="zh-CN"/>
                <w:rFonts w:ascii="Times New Roman" w:hAnsi="Times New Roman" w:cs="Times New Roman"/>
                <w:sz w:val="20"/>
                <w:szCs w:val="20"/>
                <w:color w:val="000000"/>
              </w:rPr>
              <w:t>000123</w:t>
            </w:r>
          </w:p>
        </w:tc>
      </w:tr>
      <w:tr>
        <w:tc>
          <w:tcPr>
            <w:tcW w:w="2310" w:type="dxa"/>
            <w:gridSpan w:val="3"/>
          </w:tcPr>
          <w:p>
            <w:pPr/>
            <w:r>
              <w:rPr>
                <w:lang w:val="zh-CN"/>
                <w:rFonts w:ascii="Times New Roman" w:hAnsi="Times New Roman" w:cs="Times New Roman"/>
                <w:sz w:val="20"/>
                <w:szCs w:val="20"/>
                <w:color w:val="000000"/>
              </w:rPr>
              <w:t>王刚俄罗斯卡</w:t>
            </w:r>
          </w:p>
        </w:tc>
        <w:tc>
          <w:tcPr>
            <w:tcW w:w="2310" w:type="dxa"/>
            <w:gridSpan w:val="2"/>
          </w:tcPr>
          <w:p>
            <w:pPr/>
            <w:r>
              <w:rPr>
                <w:lang w:val="zh-CN"/>
                <w:rFonts w:ascii="Times New Roman" w:hAnsi="Times New Roman" w:cs="Times New Roman"/>
                <w:sz w:val="20"/>
                <w:szCs w:val="20"/>
                <w:color w:val="000000"/>
              </w:rPr>
              <w:t>王刚</w:t>
            </w:r>
          </w:p>
        </w:tc>
        <w:tc>
          <w:tcPr>
            <w:tcW w:w="2310" w:type="dxa"/>
            <w:gridSpan w:val="3"/>
          </w:tcPr>
          <w:p>
            <w:pPr/>
            <w:r>
              <w:rPr>
                <w:lang w:val="zh-CN"/>
                <w:rFonts w:ascii="Times New Roman" w:hAnsi="Times New Roman" w:cs="Times New Roman"/>
                <w:sz w:val="20"/>
                <w:szCs w:val="20"/>
                <w:color w:val="000000"/>
              </w:rPr>
              <w:t>012157485212</w:t>
            </w:r>
          </w:p>
        </w:tc>
      </w:tr>
      <w:tr>
        <w:tc>
          <w:tcPr>
            <w:tcW w:w="2310" w:type="dxa"/>
            <w:gridSpan w:val="3"/>
          </w:tcPr>
          <w:p>
            <w:pPr/>
            <w:r>
              <w:rPr>
                <w:lang w:val="zh-CN"/>
                <w:rFonts w:ascii="Times New Roman" w:hAnsi="Times New Roman" w:cs="Times New Roman"/>
                <w:sz w:val="20"/>
                <w:szCs w:val="20"/>
                <w:color w:val="000000"/>
              </w:rPr>
              <w:t>123</w:t>
            </w:r>
          </w:p>
        </w:tc>
        <w:tc>
          <w:tcPr>
            <w:tcW w:w="2310" w:type="dxa"/>
            <w:gridSpan w:val="2"/>
          </w:tcPr>
          <w:p>
            <w:pPr/>
            <w:r>
              <w:rPr>
                <w:lang w:val="zh-CN"/>
                <w:rFonts w:ascii="Times New Roman" w:hAnsi="Times New Roman" w:cs="Times New Roman"/>
                <w:sz w:val="20"/>
                <w:szCs w:val="20"/>
                <w:color w:val="000000"/>
              </w:rPr>
              <w:t>123</w:t>
            </w:r>
          </w:p>
        </w:tc>
        <w:tc>
          <w:tcPr>
            <w:tcW w:w="2310" w:type="dxa"/>
            <w:gridSpan w:val="3"/>
          </w:tcPr>
          <w:p>
            <w:pPr/>
            <w:r>
              <w:rPr>
                <w:lang w:val="zh-CN"/>
                <w:rFonts w:ascii="Times New Roman" w:hAnsi="Times New Roman" w:cs="Times New Roman"/>
                <w:sz w:val="20"/>
                <w:szCs w:val="20"/>
                <w:color w:val="000000"/>
              </w:rPr>
              <w:t>123123</w:t>
            </w:r>
          </w:p>
        </w:tc>
      </w:tr>
      <w:tr>
        <w:tc>
          <w:tcPr>
            <w:tcW w:w="2310" w:type="dxa"/>
            <w:gridSpan w:val="3"/>
          </w:tcPr>
          <w:p>
            <w:pPr/>
            <w:r>
              <w:rPr>
                <w:lang w:val="zh-CN"/>
                <w:rFonts w:ascii="Times New Roman" w:hAnsi="Times New Roman" w:cs="Times New Roman"/>
                <w:sz w:val="20"/>
                <w:szCs w:val="20"/>
                <w:color w:val="000000"/>
              </w:rPr>
              <w:t>光大国旅业务二部</w:t>
            </w:r>
          </w:p>
        </w:tc>
        <w:tc>
          <w:tcPr>
            <w:tcW w:w="2310" w:type="dxa"/>
            <w:gridSpan w:val="2"/>
          </w:tcPr>
          <w:p>
            <w:pPr/>
            <w:r>
              <w:rPr>
                <w:lang w:val="zh-CN"/>
                <w:rFonts w:ascii="Times New Roman" w:hAnsi="Times New Roman" w:cs="Times New Roman"/>
                <w:sz w:val="20"/>
                <w:szCs w:val="20"/>
                <w:color w:val="000000"/>
              </w:rPr>
              <w:t>张三</w:t>
            </w:r>
          </w:p>
        </w:tc>
        <w:tc>
          <w:tcPr>
            <w:tcW w:w="2310" w:type="dxa"/>
            <w:gridSpan w:val="3"/>
          </w:tcPr>
          <w:p>
            <w:pPr/>
            <w:r>
              <w:rPr>
                <w:lang w:val="zh-CN"/>
                <w:rFonts w:ascii="Times New Roman" w:hAnsi="Times New Roman" w:cs="Times New Roman"/>
                <w:sz w:val="20"/>
                <w:szCs w:val="20"/>
                <w:color w:val="000000"/>
              </w:rPr>
              <w:t>0000</w:t>
            </w:r>
          </w:p>
        </w:tc>
      </w:tr>
      <w:tr>
        <w:tc>
          <w:tcPr>
            <w:tcW w:w="2310" w:type="dxa"/>
            <w:gridSpan w:val="3"/>
          </w:tcPr>
          <w:p>
            <w:pPr/>
            <w:r>
              <w:rPr>
                <w:lang w:val="zh-CN"/>
                <w:rFonts w:ascii="Times New Roman" w:hAnsi="Times New Roman" w:cs="Times New Roman"/>
                <w:sz w:val="20"/>
                <w:szCs w:val="20"/>
                <w:color w:val="000000"/>
              </w:rPr>
              <w:t>中国银行空港支行</w:t>
            </w:r>
          </w:p>
        </w:tc>
        <w:tc>
          <w:tcPr>
            <w:tcW w:w="2310" w:type="dxa"/>
            <w:gridSpan w:val="2"/>
          </w:tcPr>
          <w:p>
            <w:pPr/>
            <w:r>
              <w:rPr>
                <w:lang w:val="zh-CN"/>
                <w:rFonts w:ascii="Times New Roman" w:hAnsi="Times New Roman" w:cs="Times New Roman"/>
                <w:sz w:val="20"/>
                <w:szCs w:val="20"/>
                <w:color w:val="000000"/>
              </w:rPr>
              <w:t>四川汇旅天下信息技术有限公司</w:t>
            </w:r>
          </w:p>
        </w:tc>
        <w:tc>
          <w:tcPr>
            <w:tcW w:w="2310" w:type="dxa"/>
            <w:gridSpan w:val="3"/>
          </w:tcPr>
          <w:p>
            <w:pPr/>
            <w:r>
              <w:rPr>
                <w:lang w:val="zh-CN"/>
                <w:rFonts w:ascii="Times New Roman" w:hAnsi="Times New Roman" w:cs="Times New Roman"/>
                <w:sz w:val="20"/>
                <w:szCs w:val="20"/>
                <w:color w:val="000000"/>
              </w:rPr>
              <w:t>608880087771</w:t>
            </w:r>
          </w:p>
        </w:tc>
      </w:tr>
      <w:tr>
        <w:tc>
          <w:tcPr>
            <w:tcW w:w="2310" w:type="dxa"/>
            <w:gridSpan w:val="3"/>
          </w:tcPr>
          <w:p>
            <w:pPr/>
            <w:r>
              <w:rPr>
                <w:lang w:val="zh-CN"/>
                <w:rFonts w:ascii="Times New Roman" w:hAnsi="Times New Roman" w:cs="Times New Roman"/>
                <w:sz w:val="20"/>
                <w:szCs w:val="20"/>
                <w:color w:val="000000"/>
              </w:rPr>
              <w:t>微信</w:t>
            </w:r>
          </w:p>
        </w:tc>
        <w:tc>
          <w:tcPr>
            <w:tcW w:w="2310" w:type="dxa"/>
            <w:gridSpan w:val="2"/>
          </w:tcPr>
          <w:p>
            <w:pPr/>
            <w:r>
              <w:rPr>
                <w:lang w:val="zh-CN"/>
                <w:rFonts w:ascii="Times New Roman" w:hAnsi="Times New Roman" w:cs="Times New Roman"/>
                <w:sz w:val="20"/>
                <w:szCs w:val="20"/>
                <w:color w:val="000000"/>
              </w:rPr>
              <w:t>微信</w:t>
            </w:r>
          </w:p>
        </w:tc>
        <w:tc>
          <w:tcPr>
            <w:tcW w:w="2310" w:type="dxa"/>
            <w:gridSpan w:val="3"/>
          </w:tcPr>
          <w:p>
            <w:pPr/>
            <w:r>
              <w:rPr>
                <w:lang w:val="zh-CN"/>
                <w:rFonts w:ascii="Times New Roman" w:hAnsi="Times New Roman" w:cs="Times New Roman"/>
                <w:sz w:val="20"/>
                <w:szCs w:val="20"/>
                <w:color w:val="000000"/>
              </w:rPr>
              <w:t>微信</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2026/08/04</w:t>
            </w:r>
          </w:p>
        </w:tc>
        <w:tc>
          <w:tcPr>
            <w:tcW w:w="2310" w:type="dxa"/>
            <w:gridSpan w:val="7"/>
          </w:tcPr>
          <w:p>
            <w:pPr/>
            <w:r>
              <w:rPr>
                <w:lang w:val="zh-CN"/>
                <w:rFonts w:ascii="Times New Roman" w:hAnsi="Times New Roman" w:cs="Times New Roman"/>
                <w:b/>
                <w:color w:val="000000"/>
              </w:rPr>
              <w:t>北京&gt;&gt;哈尔滨   (火车)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客人根据火车发车时间（建议提前2小时抵达）自行前往北京站，乘坐火车硬卧由北京站出发赴美丽的冰城哈尔滨。</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早餐：不含；午餐：不含；晚餐：不含；住宿：火车上</w:t>
            </w:r>
          </w:p>
        </w:tc>
      </w:tr>
      <w:tr>
        <w:tc>
          <w:tcPr>
            <w:tcW w:w="2310" w:type="dxa"/>
            <w:vAlign w:val="center"/>
            <w:vMerge w:val="restart"/>
          </w:tcPr>
          <w:p>
            <w:pPr/>
            <w:r>
              <w:rPr>
                <w:lang w:val="zh-CN"/>
                <w:rFonts w:ascii="Times New Roman" w:hAnsi="Times New Roman" w:cs="Times New Roman"/>
                <w:sz w:val="20"/>
                <w:szCs w:val="20"/>
                <w:color w:val="000000"/>
              </w:rPr>
              <w:t>2026/08/05</w:t>
            </w:r>
          </w:p>
        </w:tc>
        <w:tc>
          <w:tcPr>
            <w:tcW w:w="2310" w:type="dxa"/>
            <w:gridSpan w:val="7"/>
          </w:tcPr>
          <w:p>
            <w:pPr/>
            <w:r>
              <w:rPr>
                <w:lang w:val="zh-CN"/>
                <w:rFonts w:ascii="Times New Roman" w:hAnsi="Times New Roman" w:cs="Times New Roman"/>
                <w:b/>
                <w:color w:val="000000"/>
              </w:rPr>
              <w:t>哈尔滨&gt;&gt;齐齐哈尔&gt;&gt;黑蒙交界处 (巴士)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引言】一阵清风吹来，一望无际的芦苇荡随风摆动。丹顶鹤们时而散步觅食，时而呼啸着从我们头顶掠过，它们的生活，如此悠闲自得。丹顶鹤的头上有一抹红色，像是镶嵌在头顶上的红宝石，脖子弯弯的，腿细长细长的，身上披着洁白的羽毛，这些丹顶鹤像一个个绅士迈着优雅的步子，踱来踱去。►旅行开始，今日第一站“鹤都”—齐齐哈尔市。“齐齐哈尔”源自达斡尔语，是“边疆”或“天然牧场”之意。而扎龙湿地是是亚洲第一、世界第四大湿地，是世界最大的芦苇湿地。►走进扎龙湿地，观丹顶鹤长鸣九天。走进扎龙湿地，星罗棋布的湖泊平静而清澈，弯曲的河道连通大小湖泊，像九曲回肠的亮线串起一颗颗明珠►横跨大兴安岭，边走边看大兴安岭浓郁的大自然气息位于黑龙江和内蒙古交界处，是内蒙古高原与松辽平原的分水岭这里既能观赏山川的层峦叠嶂，又能欣赏草原的大气宽阔。【旅游小提示】①丹顶鹤放飞时间9:30/11:00/14:00/15:30，最终以景区实际通知为准。如特殊原因放飞取消无退费。（旅游淡季一天放飞2次，放飞时间以实际为准）②今天行进内蒙古呼伦贝尔地区，车程时间较长，请自备些食品在路上。</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早餐：不含；午餐：含；晚餐：含；住宿：团队标间</w:t>
            </w:r>
          </w:p>
        </w:tc>
      </w:tr>
      <w:tr>
        <w:tc>
          <w:tcPr>
            <w:tcW w:w="2310" w:type="dxa"/>
            <w:vAlign w:val="center"/>
            <w:vMerge w:val="restart"/>
          </w:tcPr>
          <w:p>
            <w:pPr/>
            <w:r>
              <w:rPr>
                <w:lang w:val="zh-CN"/>
                <w:rFonts w:ascii="Times New Roman" w:hAnsi="Times New Roman" w:cs="Times New Roman"/>
                <w:sz w:val="20"/>
                <w:szCs w:val="20"/>
                <w:color w:val="000000"/>
              </w:rPr>
              <w:t>2026/08/06</w:t>
            </w:r>
          </w:p>
        </w:tc>
        <w:tc>
          <w:tcPr>
            <w:tcW w:w="2310" w:type="dxa"/>
            <w:gridSpan w:val="7"/>
          </w:tcPr>
          <w:p>
            <w:pPr/>
            <w:r>
              <w:rPr>
                <w:lang w:val="zh-CN"/>
                <w:rFonts w:ascii="Times New Roman" w:hAnsi="Times New Roman" w:cs="Times New Roman"/>
                <w:b/>
                <w:color w:val="000000"/>
              </w:rPr>
              <w:t>黑蒙交界处&gt;&gt;海拉尔&gt;&gt;满洲里 (巴士)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引言】在钢筋混凝的城市呆久了，有种井底之蛙的感觉，不是知识上的匮乏，而是缺少了新鲜的氧气。当投身广袤的草原当中，那一望无际的绿色海洋，心是何止平静且又震撼。心情被洗刷，也同时被洗肺，身心愉悦！►旅行开始，今日准备去呼伦贝尔第一站—海拉尔。海拉尔是呼伦贝尔旅游集散地，优美的自然风光同独特的民风民俗、悠久的历史文化相得益彰。►再现成吉思汗一生，展示蒙元文化内涵。游览有“海东青”主题雕塑、成吉思汗的战将群雕、成吉思汗箴言碑林等景观，充分再现了成吉思汗光辉荣耀的一生。►【无越野，不穿越】穿越呼伦贝尔大草原。这里是原生态土路、虽然特别难走、但是能嗅到大自然的气息。茫茫大草原，成群的牛羊，奔驰的骏马、点点的蒙古包，构成一幅完美的草原风景画。草原上、蓝天白云，青山碧水，绿草如茵。穿越原生草原，远观天鹅湖，呼伦湖水天一色美如画的自然风光。►走过满洲里的夜，才知夜可以如此的美。霍尔津湖上倒映着这座如童话般的城市，清风拂过水面，倒映在湖面上水波起伏。必打卡俄罗斯套娃酒店，可以看到费尔德圣母院、冬宫圣乔治大厅和俄罗斯叶卡捷琳娜宫的影子。【旅游小提示】①呼伦贝尔草原虽景色宜人，但都是私人牧场，不经同意是不可以进去，否则需要赔偿！②草原公路不可以随便停车，请大家听领队/导游安排。美丽的景色在路上。③满洲里灯光在20：00左右开灯，结束时间较晚。游览主要是车游，因城市管制，不能随意停车。④满洲里夜景灯光是政府的惠民旅游景点，如因特殊原因灯光未开，此赠送项目取消，无退费。</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早餐：含；午餐：含；晚餐：不含；住宿：团队标间</w:t>
            </w:r>
          </w:p>
        </w:tc>
      </w:tr>
      <w:tr>
        <w:tc>
          <w:tcPr>
            <w:tcW w:w="2310" w:type="dxa"/>
            <w:vAlign w:val="center"/>
            <w:vMerge w:val="restart"/>
          </w:tcPr>
          <w:p>
            <w:pPr/>
            <w:r>
              <w:rPr>
                <w:lang w:val="zh-CN"/>
                <w:rFonts w:ascii="Times New Roman" w:hAnsi="Times New Roman" w:cs="Times New Roman"/>
                <w:sz w:val="20"/>
                <w:szCs w:val="20"/>
                <w:color w:val="000000"/>
              </w:rPr>
              <w:t>2026/08/07</w:t>
            </w:r>
          </w:p>
        </w:tc>
        <w:tc>
          <w:tcPr>
            <w:tcW w:w="2310" w:type="dxa"/>
            <w:gridSpan w:val="7"/>
          </w:tcPr>
          <w:p>
            <w:pPr/>
            <w:r>
              <w:rPr>
                <w:lang w:val="zh-CN"/>
                <w:rFonts w:ascii="Times New Roman" w:hAnsi="Times New Roman" w:cs="Times New Roman"/>
                <w:b/>
                <w:color w:val="000000"/>
              </w:rPr>
              <w:t>满洲里&gt;&gt;额尔古纳&gt;&gt;根河  (巴士)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引言】体验一下慢生活、休闲、舒适的感觉。高远辽阔的草原能够使你的心境开阔，静谧和谐的小镇氛围能够让你彻底的放松下来。风在耳边摩挲，身心无比自由。►呼伦贝尔草原部落群。探寻千百年来蒙古帝国的历程，跟随王室后裔一起祭祀敖包、体验传统的草原文化，聆听草原牧民的生产生活方式，感受蒙银文化的发展历程。在这里你能体验蒙古民俗：一、接受蒙古人的热情好客之礼--草原迎宾酒。蒙古人性格豪爽，喜欢看着客人接过酒后一饮而尽。当然如果你是在不胜酒力，也可以用嘴唇抿一下再交换到主人的手中。二、在导游的带领下，共同进行草原上的崇高祭祀仪式---祭祀敖包。蒙古族牧民沿袭祖先的原始宗教信仰以祭敖包的形式来表达对高山的崇拜，对神灵的祈祷。►车行G331醉美草原边防公路。能同时看到“中、蒙、俄”三国风光，这里可不是瑞士，它的名字叫卡线。►访问俄罗斯家庭。当地最有传统底蕴的中俄后商家庭前去做客，享受俄罗斯族特有的贵宾接待仪式——列巴沾盐、果酒、手风琴迎接仪式，听俄罗斯阿姨讲解民族文化、话家常历史，体验巴斯克节撞彩蛋、欣赏民族歌曲、手风琴、电子琴演绎，品尝列巴、俄罗斯糖果等。►内蒙饮食文化特有的一颗明珠—烤全羊。烤好的全羊外表金黄油亮，外部肉焦黄发脆，内部肉绵软鲜嫩，口感别具一格，是来到呼伦贝尔的必吃美食之一。还有蒙古风情的开羊仪式，由专业蒙古司仪主持，热闹庄重，整只全羊当场分割，分给尊贵的客人。►亚洲第一湿地公园—额尔古纳湿地公园。这里地形平缓开阔，额尔古纳湿位于内蒙古额尔古纳市所在地拉布大林西侧，为额尔古纳湿地一角，主要自然景观有马蹄岛、同心岛、S弯等。【旅游小提示】①人数如在20人以下（含20人），烤全羊更换为烤羊腿/烤羊排，对应的开羊仪式也会取消，不提前通知，请知悉。②沿途线路属于草原深处，因车辆是大型车辆不能随意停车。请在车上好好欣赏这美丽的景色呦!</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早餐：含；午餐：含；晚餐：含；住宿：团队标间</w:t>
            </w:r>
          </w:p>
        </w:tc>
      </w:tr>
      <w:tr>
        <w:tc>
          <w:tcPr>
            <w:tcW w:w="2310" w:type="dxa"/>
            <w:vAlign w:val="center"/>
            <w:vMerge w:val="restart"/>
          </w:tcPr>
          <w:p>
            <w:pPr/>
            <w:r>
              <w:rPr>
                <w:lang w:val="zh-CN"/>
                <w:rFonts w:ascii="Times New Roman" w:hAnsi="Times New Roman" w:cs="Times New Roman"/>
                <w:sz w:val="20"/>
                <w:szCs w:val="20"/>
                <w:color w:val="000000"/>
              </w:rPr>
              <w:t>2026/08/08</w:t>
            </w:r>
          </w:p>
        </w:tc>
        <w:tc>
          <w:tcPr>
            <w:tcW w:w="2310" w:type="dxa"/>
            <w:gridSpan w:val="7"/>
          </w:tcPr>
          <w:p>
            <w:pPr/>
            <w:r>
              <w:rPr>
                <w:lang w:val="zh-CN"/>
                <w:rFonts w:ascii="Times New Roman" w:hAnsi="Times New Roman" w:cs="Times New Roman"/>
                <w:b/>
                <w:color w:val="000000"/>
              </w:rPr>
              <w:t>根河&gt;&gt;满归&gt;&gt;漠河 (巴士)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引言】走出根河，一路向北行进，便进入大兴安岭的深山密林里。茫茫林海松涛阵阵，遮天蔽日。郁郁葱葱的原始森林波涛如海，车行林中，仿佛荡舟在绿波之中。►满归，满归，满载而归。起早出发，前往幸福的小镇—满归镇。去往满归的路主要都是环山而行，且道路不平，坑洼较多，开车速度受限，正好可以看看路上青山和绿树。►“金鸡之冠，天鹅之首”“不夜城”—漠河镇。因“白夜”和“北极光”两大天然奇景而备受旅行者追捧。不太方便的交通、不繁华的街道，连时时刻刻需要的手机信号都成为一种挑战，但是这里有满天的繁星、大片的原始白桦林，俄式化风格的小镇，一定会带给你一段难忘的“找北之旅”。►北极星广场。无论是从下面看上面还是上面俯瞰，都是非常美的，整个城市街道干净，标准的俄式建筑填满了整个漠河。再广场正中间花团锦簇，夜晚的时候霓虹闪烁～►漠河松苑广场映入眼帘，在这里一起感受到原始森林的浓郁风情，县城中唯一的原始森林公园占地面积为5公顷，也是大火4不烧之一，当地人称为福地，游客来了都要踏入苑中增福。【旅游小提示】①今天开始进入大兴安岭深处，公路上信号弱路程长，提前告知亲人和朋友行程/紧急联系人。②北极光景观是一种天文自然奇观，出现几率低，能否看见凭大家的运气的哦！③因北极村接待能力有限，旺季（7月-8月）可能会调整周周边住宿，以当天实际住宿为准。不提前通知。④因漠河北极地区的民宿个人家房间少，一个团会住多个酒店，会有前后等待时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早餐：含；午餐：含；晚餐：含；住宿：团队标间</w:t>
            </w:r>
          </w:p>
        </w:tc>
      </w:tr>
      <w:tr>
        <w:tc>
          <w:tcPr>
            <w:tcW w:w="2310" w:type="dxa"/>
            <w:vAlign w:val="center"/>
            <w:vMerge w:val="restart"/>
          </w:tcPr>
          <w:p>
            <w:pPr/>
            <w:r>
              <w:rPr>
                <w:lang w:val="zh-CN"/>
                <w:rFonts w:ascii="Times New Roman" w:hAnsi="Times New Roman" w:cs="Times New Roman"/>
                <w:sz w:val="20"/>
                <w:szCs w:val="20"/>
                <w:color w:val="000000"/>
              </w:rPr>
              <w:t>2026/08/09</w:t>
            </w:r>
          </w:p>
        </w:tc>
        <w:tc>
          <w:tcPr>
            <w:tcW w:w="2310" w:type="dxa"/>
            <w:gridSpan w:val="7"/>
          </w:tcPr>
          <w:p>
            <w:pPr/>
            <w:r>
              <w:rPr>
                <w:lang w:val="zh-CN"/>
                <w:rFonts w:ascii="Times New Roman" w:hAnsi="Times New Roman" w:cs="Times New Roman"/>
                <w:b/>
                <w:color w:val="000000"/>
              </w:rPr>
              <w:t>北极村&gt;&gt;加格达奇  (巴士)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引言】在漠河有“神州北极”之称的北极村，我们站在江水清澈沉稳地流淌的黑龙江边·，远眺对岸俄罗斯的国土、俄罗斯的村庄，大片大片白桦林错落着掩映其中，渲染成一片似曾相识的异国情调……►我国地理位置上较为靠北的村子—北极村。北极村的夏季是一个很好的避暑胜地，夏季大约只有半个月。而每年夏至的前后几天，这里每天将会有近20小时可以看到太阳，这就是极昼现象。如果天气好到北极与漠河之间没有云层阻隔时，就有可能看到绚丽壮观的北极光。►给家人寄一张明信片。到北极村最北邮局自行购买一张明信片，写上祝福的话语，再请工作人员盖上最北邮局的戳，从最北的地方寄回家，给自己的旅途添上一抹独特的意义。►神州北极广场广场上竖立着一座石碑，这块石碑的质地是天然花岗岩，略加修饰，保留着一种豪气粗狂之美，石碑上刻有红色大字，浑厚有力，大气恢宏。这是当地的招牌标志，也是中国北端的一处象征。北极村特有意思的就是各种“找北”。北极村有“神州北极石”、“北陲哨所”、“北极沙洲”等多个景点，全与“北”有关。【旅游小提示】①大兴安岭丛林茂密地广人稀，公路两基本都是原始森林，不可以随意停车。②因服务站比较少，且不能随意停车，请大家尽量少喝水，减少就厕的次数。③因加格达奇接待能力有限，旺季（7月-8月）可能会调整住宿在十八站或呼玛住宿，以当天实际住宿为准。不提前通知。</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早餐：含；午餐：含；晚餐：含；住宿：团队标间</w:t>
            </w:r>
          </w:p>
        </w:tc>
      </w:tr>
      <w:tr>
        <w:tc>
          <w:tcPr>
            <w:tcW w:w="2310" w:type="dxa"/>
            <w:vAlign w:val="center"/>
            <w:vMerge w:val="restart"/>
          </w:tcPr>
          <w:p>
            <w:pPr/>
            <w:r>
              <w:rPr>
                <w:lang w:val="zh-CN"/>
                <w:rFonts w:ascii="Times New Roman" w:hAnsi="Times New Roman" w:cs="Times New Roman"/>
                <w:sz w:val="20"/>
                <w:szCs w:val="20"/>
                <w:color w:val="000000"/>
              </w:rPr>
              <w:t>2026/08/10</w:t>
            </w:r>
          </w:p>
        </w:tc>
        <w:tc>
          <w:tcPr>
            <w:tcW w:w="2310" w:type="dxa"/>
            <w:gridSpan w:val="7"/>
          </w:tcPr>
          <w:p>
            <w:pPr/>
            <w:r>
              <w:rPr>
                <w:lang w:val="zh-CN"/>
                <w:rFonts w:ascii="Times New Roman" w:hAnsi="Times New Roman" w:cs="Times New Roman"/>
                <w:b/>
                <w:color w:val="000000"/>
              </w:rPr>
              <w:t>加格达奇/呼玛/十八站&gt;&gt;黑河  (巴士)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引言】黑河市地处黑龙江省北部，是大兴安岭与小兴安岭的分界线，与俄罗斯远东第三大城市—阿穆尔州首府布拉戈维申斯克市隔黑龙江相望。►早餐后，出发“大兴安岭加格达奇北山公园“，拾阶而上登高望远尽可以鸟瞰城市全貌，此处生态资源保存完好，是林区森林资源的一个缩影，山势连绵起伏而且坡度平缓，伴随着林区开发建设乘车赴“一带一路双城迹”：一江之隔的双子城“中俄双子城”-黑龙江省黑河市。►“黑河黑龙江公园”黑龙江公园位于我国第三大河“黑龙江”沿岸。它北依江水，与俄罗斯阿穆尔州首府布拉戈维申斯克市隔江相望，整个公园划分为三大主题园区，自西向东依次为：历史文化园区、中西文化园区、科技文化园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早餐：含；午餐：含；晚餐：不含；住宿：团队标间</w:t>
            </w:r>
          </w:p>
        </w:tc>
      </w:tr>
      <w:tr>
        <w:tc>
          <w:tcPr>
            <w:tcW w:w="2310" w:type="dxa"/>
            <w:vAlign w:val="center"/>
            <w:vMerge w:val="restart"/>
          </w:tcPr>
          <w:p>
            <w:pPr/>
            <w:r>
              <w:rPr>
                <w:lang w:val="zh-CN"/>
                <w:rFonts w:ascii="Times New Roman" w:hAnsi="Times New Roman" w:cs="Times New Roman"/>
                <w:sz w:val="20"/>
                <w:szCs w:val="20"/>
                <w:color w:val="000000"/>
              </w:rPr>
              <w:t>2026/08/11</w:t>
            </w:r>
          </w:p>
        </w:tc>
        <w:tc>
          <w:tcPr>
            <w:tcW w:w="2310" w:type="dxa"/>
            <w:gridSpan w:val="7"/>
          </w:tcPr>
          <w:p>
            <w:pPr/>
            <w:r>
              <w:rPr>
                <w:lang w:val="zh-CN"/>
                <w:rFonts w:ascii="Times New Roman" w:hAnsi="Times New Roman" w:cs="Times New Roman"/>
                <w:b/>
                <w:color w:val="000000"/>
              </w:rPr>
              <w:t>黑河&gt;&gt;五大连池风景区   (巴士)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引言】五大连池四奇与四怪，四奇是：水往西边走，车往上坡跑，三伏赏冰雪，数九长绿草；四怪是：喝水能治病，洗泉把疾消，熔岩赛火炕，石头水上漂。►“中俄大桥”-黑龙江大桥公园。观光塔必去打卡，观光塔一共是4层。3楼是玻璃窗，4楼是露天的打卡，可以远观对岸的俄罗斯和中俄跨江大桥，俯瞰黑龙江。►后乘车赴五大连池风景区—火山地质博物馆。地处小兴安岭山地向松嫩平原的过渡地带，境内有14座火山和5个主要火山堰塞湖，有“天然火山博物馆”和“打开的火山教科书”等美誉。►五大连池特有冷矿泉—北饮泉。北饮泉是有名的带气矿泉水，还有大片火山喷发遗迹“石龙平台”，以及二龙泉泉水汇聚而成的湖。泉水是必须喝的，建议可以打上一小瓶带出去喝，但是只能保留两三小时。事先要有心理准备，水有点铁锈味道。►俯瞰小镇全景，瞻仰佛像祈福—药泉山，又名极乐山。位于火山群的南部。它喷发年代大约在30万年以前，火山海拔355.8米，高出地面60.8米，远看像某个土山。五大连池14座火山中最小的，也是海拔最低的一座。因山下有多处能治疗疾病的药泉而得名。山上有钟灵禅寺和观音像。二龙泉眼。位于喷发在60万年前的古火山药泉山脚下，从药泉山汇聚而成的矿泉水，从两只巨大的龙头张开的大嘴里喷涌而出。它还有很高的医疗价值，所以又叫洗眼泉。 ►近距离游五大连池三池，又名白龙湖，是五池中面积最大、最深的湖。开阔的水面倒映波平如镜，在蓝天白云映照下景色十分优美。因为池的底部是熔岩和砂底各占一半组成，所以湖水棕色带着黄绿，里面生长着各种鱼类（景区有可能增加必做景交摆渡车，如收取请客人自理）。</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早餐：含；午餐：含；晚餐：不含；住宿：团队标间</w:t>
            </w:r>
          </w:p>
        </w:tc>
      </w:tr>
      <w:tr>
        <w:tc>
          <w:tcPr>
            <w:tcW w:w="2310" w:type="dxa"/>
            <w:vAlign w:val="center"/>
            <w:vMerge w:val="restart"/>
          </w:tcPr>
          <w:p>
            <w:pPr/>
            <w:r>
              <w:rPr>
                <w:lang w:val="zh-CN"/>
                <w:rFonts w:ascii="Times New Roman" w:hAnsi="Times New Roman" w:cs="Times New Roman"/>
                <w:sz w:val="20"/>
                <w:szCs w:val="20"/>
                <w:color w:val="000000"/>
              </w:rPr>
              <w:t>2026/08/12</w:t>
            </w:r>
          </w:p>
        </w:tc>
        <w:tc>
          <w:tcPr>
            <w:tcW w:w="2310" w:type="dxa"/>
            <w:gridSpan w:val="7"/>
          </w:tcPr>
          <w:p>
            <w:pPr/>
            <w:r>
              <w:rPr>
                <w:lang w:val="zh-CN"/>
                <w:rFonts w:ascii="Times New Roman" w:hAnsi="Times New Roman" w:cs="Times New Roman"/>
                <w:b/>
                <w:color w:val="000000"/>
              </w:rPr>
              <w:t>五大连池&gt;&gt;伊春&gt;&gt;哈尔滨  (巴士)</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引言】无论是耳闻，还是目见，小兴安岭伊春的美都是毋庸置疑的，上天把属于它的四季打造得各具风韵，又都美不胜收。这里森林优美，群峰叠翠；这里泉水清幽，土地肥沃；这里推窗观绿，开门见景。作为中国最大的森林城市，伊春的“绿”在全国别具一格。►早餐后，乘车赴小兴安岭腹地—伊春市。仅小兴安岭，就以成千上万的红松而享有“红松故乡”的美誉。伊春也是个迷人的世界。天是一片蓝玉，山是一块翡翠，远远望去，翡翠和蓝玉合璧，蔚为壮观。走进雄伟的大山，树木、小草、野花五彩斑斓，令人心旷神怡。►林都待客不用酒，捧出绿色就醉人—上甘岭溪水国家森林公园。地处小兴安岭中段，汤旺河流域。在这里游玩，能远离城市的拥挤，呼吸清新的空气，欣赏大自然美丽的风光，领略独具匠心的园林艺术和民俗文化。2016年习近平总书记考察黑龙江首站来到伊春，提出了“绿水青山就是金山银山，冰天雪地也是金山银山”等一系列重要指示，描绘了“伊春、伊春，柳暗花明又一‘春’的光明前景。►木雕艺术为主的特色公园—中国林都木雕园。生命是宇宙永恒的主题，自然是人类蓬勃的舞台，昭示生命，彰显自然，这或许是“中国林都木雕园”献给游人的一番心意吧。公园内全部木雕作品的材料均取自于小兴安岭优质木材，由本地艺术工作者和浙江东阳雕刻工匠设计和雕刻完成。</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早餐：含；午餐：含；晚餐：含；住宿：团队标间</w:t>
            </w:r>
          </w:p>
        </w:tc>
      </w:tr>
      <w:tr>
        <w:tc>
          <w:tcPr>
            <w:tcW w:w="2310" w:type="dxa"/>
            <w:vAlign w:val="center"/>
            <w:vMerge w:val="restart"/>
          </w:tcPr>
          <w:p>
            <w:pPr/>
            <w:r>
              <w:rPr>
                <w:lang w:val="zh-CN"/>
                <w:rFonts w:ascii="Times New Roman" w:hAnsi="Times New Roman" w:cs="Times New Roman"/>
                <w:sz w:val="20"/>
                <w:szCs w:val="20"/>
                <w:color w:val="000000"/>
              </w:rPr>
              <w:t>2026/08/13</w:t>
            </w:r>
          </w:p>
        </w:tc>
        <w:tc>
          <w:tcPr>
            <w:tcW w:w="2310" w:type="dxa"/>
            <w:gridSpan w:val="7"/>
          </w:tcPr>
          <w:p>
            <w:pPr/>
            <w:r>
              <w:rPr>
                <w:lang w:val="zh-CN"/>
                <w:rFonts w:ascii="Times New Roman" w:hAnsi="Times New Roman" w:cs="Times New Roman"/>
                <w:b/>
                <w:color w:val="000000"/>
              </w:rPr>
              <w:t>哈尔滨市游&gt;&gt;北京 (火车)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引言】去过哈尔滨的人，便会一生记着她的名字，记着她优美的韵律。黑土地赋予眼睛的深遂，透过眼睛，可以感受到一种无比博大的内存，松花江润泽着眼睛的清澈灵秀，映出了我们高贵的肤色和身后祥和的土地。►圣•索菲亚教堂外观。远东最大的东正教教堂。气势恢弘，精美绝伦，构成了哈尔滨独具异国情调的人文景观和城市风情。►哈尔滨游客服务中心。服务中心面积6000平，拥有四大区域，将俄罗斯特产，东北特产，北方道地药材，以及俄罗斯的天然琥珀蜜蜡，呈现给世界各地的游客，平民价格、质量保证。『郑重承诺：30天无理由退换货』►百年滨洲铁路桥。一条铁路，“三国故事”这座桥见证了哈尔滨历史兴衰，见证了哈尔滨被侵占耻辱的过去，见证了哈尔滨的崛起，更见证了哈尔滨的发展。参观俄罗斯手工巧克力坊，空气弥漫着巧克力的味道，映入眼帘的就是巧克力瀑布，在这里你不仅可以品尝到纯正的俄式巧克力，还可以看到巧克力制作流程、全部采用真材实料、纯手工制作。►中央大街。看着满眼的欧式建筑，感受着身边的繁华如织瞬间感觉洋气范儿起来，它没有跨越的时代感，一直都是这样的摩登潮流。►防洪纪念塔。在松花江畔，感豪情壮举，赞英雄城市，它是哈尔滨开埠以来最年轻的保护建筑，建立在美丽的松花江畔，记录了人民抗洪护城的英雄时刻！►斯大林公园。中国最长的带状开放式公园，电影和电视剧的镜头相继在这儿拍过，可见斯大林公园风景是多么吸引人。后根据航班/列车时间送机场/火车站返回北京。【卧铺参考车次】：哈尔滨-北京站T48次（21:59-09:25+1）或t18/k350等，旅游旺季不保证车次，如出软卧，按票面价格补齐差价以实际出票车次为准!  【高铁参考车次】：哈尔滨-北京站等，旅游旺季不保证车次，以实际出票车次为准!  【旅游小提示】①行程结束统一送团，建议选择18:00之后航班/16：00以后火车。我们会根据实际乘坐人数，调整送机车型，由于大家出发时间不同，可能会存在提前送站，如介意可自理打车前往机场/车站。②如果服务满意，请您发微信晒一下吧，并如实填写意见反馈单，我们处理问题以意见反馈单内容填写为准，恕不处理意见单填写满意后回团提出的问题，感谢您的配合。</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早餐：含；午餐：含；晚餐：不含；住宿：火车上</w:t>
            </w:r>
          </w:p>
        </w:tc>
      </w:tr>
      <w:tr>
        <w:tc>
          <w:tcPr>
            <w:tcW w:w="2310" w:type="dxa"/>
            <w:vAlign w:val="center"/>
            <w:vMerge w:val="restart"/>
          </w:tcPr>
          <w:p>
            <w:pPr/>
            <w:r>
              <w:rPr>
                <w:lang w:val="zh-CN"/>
                <w:rFonts w:ascii="Times New Roman" w:hAnsi="Times New Roman" w:cs="Times New Roman"/>
                <w:sz w:val="20"/>
                <w:szCs w:val="20"/>
                <w:color w:val="000000"/>
              </w:rPr>
              <w:t>2026/08/14</w:t>
            </w:r>
          </w:p>
        </w:tc>
        <w:tc>
          <w:tcPr>
            <w:tcW w:w="2310" w:type="dxa"/>
            <w:gridSpan w:val="7"/>
          </w:tcPr>
          <w:p>
            <w:pPr/>
            <w:r>
              <w:rPr>
                <w:lang w:val="zh-CN"/>
                <w:rFonts w:ascii="Times New Roman" w:hAnsi="Times New Roman" w:cs="Times New Roman"/>
                <w:b/>
                <w:color w:val="000000"/>
              </w:rPr>
              <w:t>硬卧抵达北京 ，返回温馨的家。(火车)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硬卧抵达北京，返回温馨的家。</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Yoshi</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汇小妹</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4</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2026/8/4 14:20:24</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