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美途旅业团队/散客确认书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万美旅游乐山竹根镇文化路服务网点</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薛桥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18090370323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邓孔丽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17396956700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SZX06CZ241012A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泸州=深圳双飞6日游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2024-10-12 CZ8580 泸州→深圳 11:55-13:55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2024-10-17 CZ8579 深圳→泸州 09:00-11:1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1、李洪英</w:t>
            </w:r>
          </w:p>
        </w:tc>
        <w:tc>
          <w:tcPr>
            <w:tcW w:w="2310" w:type="dxa"/>
            <w:vAlign w:val="center"/>
            <w:gridSpan w:val="2"/>
          </w:tcPr>
          <w:p>
            <w:pPr/>
            <w:r>
              <w:rPr>
                <w:lang w:val="zh-CN"/>
                <w:rFonts w:ascii="Times New Roman" w:hAnsi="Times New Roman" w:cs="Times New Roman"/>
                <w:sz w:val="20"/>
                <w:szCs w:val="20"/>
                <w:color w:val="000000"/>
              </w:rPr>
              <w:t>511132196602250029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2、李蓉</w:t>
            </w:r>
          </w:p>
        </w:tc>
        <w:tc>
          <w:tcPr>
            <w:tcW w:w="2310" w:type="dxa"/>
            <w:vAlign w:val="center"/>
            <w:gridSpan w:val="2"/>
          </w:tcPr>
          <w:p>
            <w:pPr/>
            <w:r>
              <w:rPr>
                <w:lang w:val="zh-CN"/>
                <w:rFonts w:ascii="Times New Roman" w:hAnsi="Times New Roman" w:cs="Times New Roman"/>
                <w:sz w:val="20"/>
                <w:szCs w:val="20"/>
                <w:color w:val="000000"/>
              </w:rPr>
              <w:t>511132197301210028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3、张萍</w:t>
            </w:r>
          </w:p>
        </w:tc>
        <w:tc>
          <w:tcPr>
            <w:tcW w:w="2310" w:type="dxa"/>
            <w:vAlign w:val="center"/>
            <w:gridSpan w:val="2"/>
          </w:tcPr>
          <w:p>
            <w:pPr/>
            <w:r>
              <w:rPr>
                <w:lang w:val="zh-CN"/>
                <w:rFonts w:ascii="Times New Roman" w:hAnsi="Times New Roman" w:cs="Times New Roman"/>
                <w:sz w:val="20"/>
                <w:szCs w:val="20"/>
                <w:color w:val="000000"/>
              </w:rPr>
              <w:t>511112198303110329</w:t>
            </w:r>
          </w:p>
        </w:tc>
        <w:tc>
          <w:tcPr>
            <w:tcW w:w="2310" w:type="dxa"/>
            <w:vAlign w:val="center"/>
          </w:tcPr>
          <w:p>
            <w:pPr/>
            <w:r>
              <w:rPr>
                <w:lang w:val="zh-CN"/>
                <w:rFonts w:ascii="Times New Roman" w:hAnsi="Times New Roman" w:cs="Times New Roman"/>
                <w:sz w:val="20"/>
                <w:szCs w:val="20"/>
                <w:color w:val="000000"/>
              </w:rPr>
              <w:t>13990643177</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1880.00</w:t>
            </w:r>
          </w:p>
        </w:tc>
        <w:tc>
          <w:tcPr>
            <w:tcW w:w="2310" w:type="dxa"/>
          </w:tcPr>
          <w:p>
            <w:pPr/>
            <w:r>
              <w:rPr>
                <w:lang w:val="zh-CN"/>
                <w:rFonts w:ascii="Times New Roman" w:hAnsi="Times New Roman" w:cs="Times New Roman"/>
                <w:sz w:val="20"/>
                <w:szCs w:val="20"/>
                <w:color w:val="000000"/>
              </w:rPr>
              <w:t>5640.00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总金额：伍仟陆佰肆拾元整</w:t>
            </w:r>
          </w:p>
        </w:tc>
        <w:tc>
          <w:tcPr>
            <w:tcW w:w="2310" w:type="dxa"/>
            <w:textDirection w:val="right"/>
            <w:gridSpan w:val="3"/>
          </w:tcPr>
          <w:p>
            <w:pPr/>
            <w:r>
              <w:rPr>
                <w:lang w:val="zh-CN"/>
                <w:rFonts w:ascii="Times New Roman" w:hAnsi="Times New Roman" w:cs="Times New Roman"/>
                <w:b/>
                <w:color w:val="FF0000"/>
              </w:rPr>
              <w:t>5640.00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2024/10/12</w:t>
            </w:r>
          </w:p>
        </w:tc>
        <w:tc>
          <w:tcPr>
            <w:tcW w:w="2310" w:type="dxa"/>
            <w:gridSpan w:val="7"/>
          </w:tcPr>
          <w:p>
            <w:pPr/>
            <w:r>
              <w:rPr>
                <w:lang w:val="zh-CN"/>
                <w:rFonts w:ascii="Times New Roman" w:hAnsi="Times New Roman" w:cs="Times New Roman"/>
                <w:b/>
                <w:color w:val="000000"/>
              </w:rPr>
              <w:t>泸州-深圳(飞机)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指定时间在泸州云龙机场集合，乘机前往深圳，后游览【深圳红树湾公园】（游览约40分钟）后游览【莲花山公园】（游览约40分钟）深圳市莲花山公园位于深圳市中心区的最北端，莲花山公园占地面积194公顷，南临红荔路，北到莲花路，东起彩田路，西至新洲路。莲花山公园东、南、西、北都有入口，其中，南面入口是主入口。晚餐后入住酒店休息。(特别备注：本行程要求办理港澳通行证，香港1次往返签注、澳门1次往返签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早餐：；午餐：；晚餐：含；住宿：深圳</w:t>
            </w:r>
          </w:p>
        </w:tc>
      </w:tr>
      <w:tr>
        <w:tc>
          <w:tcPr>
            <w:tcW w:w="2310" w:type="dxa"/>
            <w:vAlign w:val="center"/>
            <w:vMerge w:val="restart"/>
          </w:tcPr>
          <w:p>
            <w:pPr/>
            <w:r>
              <w:rPr>
                <w:lang w:val="zh-CN"/>
                <w:rFonts w:ascii="Times New Roman" w:hAnsi="Times New Roman" w:cs="Times New Roman"/>
                <w:sz w:val="20"/>
                <w:szCs w:val="20"/>
                <w:color w:val="000000"/>
              </w:rPr>
              <w:t>2024/10/13</w:t>
            </w:r>
          </w:p>
        </w:tc>
        <w:tc>
          <w:tcPr>
            <w:tcW w:w="2310" w:type="dxa"/>
            <w:gridSpan w:val="7"/>
          </w:tcPr>
          <w:p>
            <w:pPr/>
            <w:r>
              <w:rPr>
                <w:lang w:val="zh-CN"/>
                <w:rFonts w:ascii="Times New Roman" w:hAnsi="Times New Roman" w:cs="Times New Roman"/>
                <w:b/>
                <w:color w:val="000000"/>
              </w:rPr>
              <w:t>深圳-香港(大巴)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通关口岸进入香港，由导游带领游览【金紫荆广场】和【会展中心】（不低于30分钟），这个富有时代感的建筑是香港回归祖国大典的举行场地，广场有庄严的升起仪式！游览【星光大道】(如景区因维修等政策原因不开放,改游星光花园)。【西九龙文化艺术公园】(60分钟)隐身于闹市中的艺术公园，绿油油的大草坪是你身心放松的地方，沿着海滨长廊漫步，尽览维景两岸的摩天大厦，可欣赏维港日落醉人美景。古今中外的人文情。随后游览【香港历史博物馆】(30分钟)（周二闭馆）1975年创立。该馆展出中国香港的出土文物、历史图片、图画和地图等历史文物。后乘车前往【太平山】（游览时间约30分钟），站在山顶最高点眺望“东方之珠”全景，观摩天高楼，享誉的维多利亚海港。下山前往游览号称“天下第一湾”，也有“东方夏威夷”之美誉【浅水湾】（游览时间约60分钟）,观赏美丽的香港维多利亚港两岸风光，一幅美妙的海上繁华景致。后参观【星光大道】（游览时间约30分钟），为表扬香港电影界的杰出人士的特色景点，仿效好莱坞星光大道，出电影工作者的芳名与手掌印镶嵌在特制的纪念牌匾，以年代依次排列在星光大道上，星光大道可容纳100名电影工作者的纪念牌匾。后乘坐游船天星小轮【游维多利亚港】游船迎着徐徐海风缓缓前行，港九两岸夺目的灯海是维多利亚港奢华的晚装！后送回酒店休息。〖温馨提示〗1、报名时请留下您在旅游期间使用的手机号码，方便导游用短信与您联络；2明天出发时间较早，请提前入睡休息好，酒店均含独立卫生间，提供热水，电视机及早餐，按时起床带好行李到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早餐：含；午餐：含；晚餐：含；住宿：香港</w:t>
            </w:r>
          </w:p>
        </w:tc>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香港一日游(大巴)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黄大仙庙】（30分钟）香港香火最旺的庙宇，烧香祈福。前往【KJISuperMall免税店中心】（约120分钟）自由选购琳琅满目的产品、应有尽有、尽享购物乐趣。后持港澳通行证排队过关，乘金巴【港珠澳大桥观光巴士】前往珠海，切实感受历时8年多打造的飞跃伶仃洋的“巨龙”风采，【港珠澳大桥】为世界上最长跨海大桥、最长钢铁大桥、最长海底隧道、最深隧道、最大沉管隧道。作为连接香港、珠海、澳门的桥隧工程，东起香港国际机场附近的香港口岸人工岛，向西横跨伶仃洋海域连接珠海和澳门的人工岛，止于珠海洪湾，全长55千米，是促进香港澳门和珠江三角洲西岸地区经济的重要桥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早餐：；午餐：含；晚餐：含；住宿：珠海</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澳门一日游(大巴)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拱北口岸出关，参观澳门的标志性建筑【大三巴牌坊】【大炮台】（30分钟）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牌坊上各种雕像栩栩如生，堪称“立体的圣经”。之后前往车览澳门的富人区—【主教山】、【妈祖庙】【观音像】（30分钟），后游览99回归标志【金莲花广场】（15分钟）。前往【奥特莱斯免税商场】（逛60分钟）不讲座不听课无会销，自由选购琳琅满目的产品、应有尽有的购物乐趣。前往【巴黎铁塔】外观。后参观【世界最大银钻表演】，钻石大厅每半个小时表演一次喷泉音乐，大家纷纷驻足观看，很有气派，里面店铺也很多，十分方便的。之后外观巴黎人铁塔，【澳门威尼斯人】以意大利威尼斯水乡以及著名雕像为建筑特色，并参考著名的拉斯维加斯威尼斯人度假村酒店作为设计蓝本，是一座超级大型的度假式酒店。在坊间经常俗称为澳门威尼斯人度假村、威尼斯人、威记等。酒店范围内是充满威尼斯特色拱桥、小运河及石板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早餐：含；午餐：含；晚餐：含；住宿：澳门</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珠海(大巴)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国家AAAA景区-【罗西尼钟表文化旅游景区】：罗西尼钟表文化旅游景区的工业旅游及钟表博物馆，首次对外展现人类千年计时文化和现代钟表精密制造工艺全景，收录从古到今“时间”系列作品，开启一道时光大门，带领游客走进悠远而神秘的钟表世界。后游览珠海的市标【渔女像】、浪漫珠海的【情侣路】-【日月贝】（10分钟），参观览万园之园—【圆明新园】（不低于50分钟）：圆明新园按1：1的比例恢复北京圆明园四十八景中的十八景，赋予每个景区以及历史的内涵，强调清朝宫廷文化的建设，景区内设置了清朝皇帝蜡像馆、清朝皇帝书房、皇帝衘膳以及清朝兵器、八旗制度等展览厅，观看古代宫殿建筑（正大光明、九州清晏、平湖秋月、濂溪乐处、含虚朗鉴、方壶胜境、上下天光、西洋楼建筑等）。前往网红打卡点【城市阳台】山海相拥、陆岛相望，亲山近水、立体相连，珠海最浪漫精致的“山、海、城一体”风貌，即将被广大市民的双眸收纳珍藏。向东可赏香炉湾朝阳，远眺日月贝向西纵享石景山美景，立体的城市观景系统特色鲜明，观海平台下方还有旅游餐饮与服务配套。后乘车前往【孙中山故居】（不低于40分钟）由孙中山先生于1892年亲自设计各主持修建的一座独具特色的中西结合的两层洋房，风格独特，它坐东向西一反传统风格，从中可以表现出孙中山急取改革的心情，纪念馆更是陈列了孙中山先生生平史绩和孙中山的亲属与后裔图片及信息展览，团友更可在此增加对孙中山先生的了解。乘车经深中通道返回深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早餐：含；午餐：含；晚餐：含；住宿：深圳</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早餐后根据航班时间送机。以上行程旅行社有权根据实际情况实际时间合理的对参观的景点顺序作出调整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泸州深圳往返飞机；香港-珠海港珠澳大桥金巴车费用。2、全程住宿：行程双人标准间酒店（按2人入住1间房核算，不提供三人间，具体住宿酒店名称，以旅行社实际安排为准）。4晚国内当地3星酒店+1晚香港当地3星酒店。3、用餐：9正5早。国内正餐30元人，境外正餐为7菜1汤，10人一桌(餐标RMB香港段45元，澳门段中餐30元)；特别说明：港澳地区的团队餐口味偏淡，并因为团队餐厅数量有限，用餐时可能会出现排队的情况；团队用餐为预定用餐制，如因客人原因放弃用餐，餐费不退，烦请留意。4、用车：深圳、香港、澳门、珠海空调旅游车；5、全程我社工作人员陪同，香港澳门当地优秀导游服务；6、行程所列景点首道门票；7、罗西尼（行程内百货超市不算购物店）。费用不含1、自由活动期间所产生的任何费用。2、非免费餐饮费、洗衣、理发、电话、饮料、烟酒、付费电视、行李搬运等费用。3、行程中未提到的其它费用：如特殊门票、游船（轮）、缆车、景区内电瓶车、动车票等费用。4、购物场所内消费。5、不含航空保险/误机险/行李险等等一切额外保险，因旅游者违约、自身过错、自身疾病，导致的人身财产损失而额外支付的费用。6、“旅游费用包含”内容以外的所有费用。7、全程不提供自然单房差、产生自然单房差费用客人自理。8、不含行程景点内的小交通、私人消费（如自由活动期间的用车、用餐及导游服务；酒店内洗衣理发、电话、传真、收费电视、饮品、烟酒等超行程的费用）。9、因交通延阻、罢工、天气、飞机故障、航班取消或更改时间等不可抗力原因导致的额外费用；因滞留造成的食宿费用，增加的返航费用。其它：1.旅游期间一切私人性质的消费，如：洗衣，通讯，娱乐等，行程中未提及的其它费用；2.按照国际惯例，小费是给服务人员服务的报酬和认可，若境外相关服务人员(酒店、餐厅等)服务出色，游客可适当给予服务小费(金额：人民币20-50元/次不等)；3.因战争，台风，海啸，地震等不可抗力而引起的一切费用。备注：1、客人自愿放弃行程中的住宿、餐、车、景点门票、导游服务，所交费用不退还；2、如出现单男单女需要客人自补方差或者根据情况调整为三人间或双人间加床；所有证件优惠门票不退费。3、70岁(按年份算)以上及孕妇概不接待</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或当地旅行社在不减少景点及降低服务标准的前提下，有权调整景点游览顺序；2、旅游目的地接待社名称、联系人、联系电话请在出发前向团队领队索取；3、导游或领队，有义务为游客介绍景区自费游乐项目，但不作为强迫推荐，是否参与由游客视自己身体情况及能否控制风险而自定；4、烦请各位游客详细阅读本旅游行程，并请结合旅游行程安排考量自身健康状况是否适合参加本次旅游，游客应对自己身体健康状况承担责任。特殊人群(包括但不限于)：重症疾病患、70岁及以上的高龄老年人等，必须出具三个月内二级以上公立医院的体检报告，体检报告需证明客人身体健康状况适宜参加此次旅游，并且必须有具有民事行为能力的直系家属一起陪同出游才能参团。另香港、澳门政府有权利拒绝中国大陆地区的孕期妇女入境，建议孕期妇女不要参团港澳旅游。温馨提示：在行程中如对我们的服务或接待标准有异议，请在旅行期间及时联络本团领队或导游,未能得到妥善处理的问题请及时联络您报名的营业部;游客投诉处理时是以在旅游期间填写的意见表为主要依据，为了保障您的权益，请您务必认真填写意见表，恕不受理因虚假填写或不填写意见表而产生的后续争议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薛桥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20955</wp:posOffset>
                        </wp:positionV>
                        <wp:extent cx="1440180" cy="1414145"/>
                        <wp:effectExtent l="0" t="0" r="7620" b="14605"/>
                        <wp:wrapNone/>
                        <wp:docPr id="1" name="图片 1" descr="424433ef2f5afff83175d169407f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433ef2f5afff83175d169407f1fb"/>
                                <pic:cNvPicPr>
                                  <a:picLocks noChangeAspect="1"/>
                                </pic:cNvPicPr>
                              </pic:nvPicPr>
                              <pic:blipFill>
                                <a:blip r:embed="rId4"/>
                                <a:srcRect l="9753" t="9398" r="11598" b="6019"/>
                                <a:stretch>
                                  <a:fillRect/>
                                </a:stretch>
                              </pic:blipFill>
                              <pic:spPr>
                                <a:xfrm>
                                  <a:off x="0" y="0"/>
                                  <a:ext cx="1440180" cy="141414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rPr>
                  </w:pPr>
                  <w:r>
                    <w:rPr>
                      <w:rFonts w:hint="eastAsia" w:asciiTheme="minorEastAsia" w:hAnsiTheme="minorEastAsia"/>
                    </w:rPr>
                    <w:t>乙方经办人：@Em</w:t>
                  </w:r>
                </w:p>
                <w:p>
                  <w:pPr>
                    <w:ind w:firstLine="420"/>
                    <w:rPr>
                      <w:rFonts w:hint="eastAsia" w:asciiTheme="minorEastAsia" w:hAnsiTheme="minorEastAsia" w:eastAsiaTheme="minorEastAsia"/>
                      <w:lang w:eastAsia="zh-CN"/>
                    </w:rPr>
                  </w:pPr>
                  <w:r>
                    <w:rPr>
                      <w:rFonts w:hint="eastAsia" w:asciiTheme="minorEastAsia" w:hAnsiTheme="minorEastAsia"/>
                    </w:rPr>
                    <w:t>Name</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2024/10/4 22:38:41</w:t>
      </w:r>
    </w:p>
    <w:p>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9521EDE"/>
    <w:rsid w:val="0DBE4390"/>
    <w:rsid w:val="117B1437"/>
    <w:rsid w:val="1408504A"/>
    <w:rsid w:val="1550363E"/>
    <w:rsid w:val="19DB154C"/>
    <w:rsid w:val="1D18009A"/>
    <w:rsid w:val="205E79E2"/>
    <w:rsid w:val="21EB6D4E"/>
    <w:rsid w:val="228E549B"/>
    <w:rsid w:val="28486BB6"/>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1</TotalTime>
  <ScaleCrop>false</ScaleCrop>
  <LinksUpToDate>false</LinksUpToDate>
  <CharactersWithSpaces>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2024-06-05T08:11:15Z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0DF6FB064FCB4AF0AF8838D3342901FB_13</vt:lpwstr>
  </property>
</Properties>
</file>