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四川美途文化旅游产业投资有限公司团队/散客确认书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泸州美途旅游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余友</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18683084646</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蒋利焦</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17396956377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PKX06CY250402A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泸州=北京双飞6日游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4(4大)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2025-04-02 KN5658 泸州→北京大兴 21:20-23:55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2025-04-07 KN5657 北京大兴→泸州 17:40-20:3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1、谢明春</w:t>
            </w:r>
          </w:p>
        </w:tc>
        <w:tc>
          <w:tcPr>
            <w:tcW w:w="2310" w:type="dxa"/>
            <w:vAlign w:val="center"/>
            <w:gridSpan w:val="2"/>
          </w:tcPr>
          <w:p>
            <w:pPr/>
            <w:r>
              <w:rPr>
                <w:lang w:val="zh-CN"/>
                <w:rFonts w:ascii="Times New Roman" w:hAnsi="Times New Roman" w:cs="Times New Roman"/>
                <w:sz w:val="20"/>
                <w:szCs w:val="20"/>
                <w:color w:val="000000"/>
              </w:rPr>
              <w:t>510523195612306620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2、谢明华</w:t>
            </w:r>
          </w:p>
        </w:tc>
        <w:tc>
          <w:tcPr>
            <w:tcW w:w="2310" w:type="dxa"/>
            <w:vAlign w:val="center"/>
            <w:gridSpan w:val="2"/>
          </w:tcPr>
          <w:p>
            <w:pPr/>
            <w:r>
              <w:rPr>
                <w:lang w:val="zh-CN"/>
                <w:rFonts w:ascii="Times New Roman" w:hAnsi="Times New Roman" w:cs="Times New Roman"/>
                <w:sz w:val="20"/>
                <w:szCs w:val="20"/>
                <w:color w:val="000000"/>
              </w:rPr>
              <w:t>510523195906176614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3、黄友会</w:t>
            </w:r>
          </w:p>
        </w:tc>
        <w:tc>
          <w:tcPr>
            <w:tcW w:w="2310" w:type="dxa"/>
            <w:vAlign w:val="center"/>
            <w:gridSpan w:val="2"/>
          </w:tcPr>
          <w:p>
            <w:pPr/>
            <w:r>
              <w:rPr>
                <w:lang w:val="zh-CN"/>
                <w:rFonts w:ascii="Times New Roman" w:hAnsi="Times New Roman" w:cs="Times New Roman"/>
                <w:sz w:val="20"/>
                <w:szCs w:val="20"/>
                <w:color w:val="000000"/>
              </w:rPr>
              <w:t>51052319630919662X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4、谢明清</w:t>
            </w:r>
          </w:p>
        </w:tc>
        <w:tc>
          <w:tcPr>
            <w:tcW w:w="2310" w:type="dxa"/>
            <w:vAlign w:val="center"/>
            <w:gridSpan w:val="2"/>
          </w:tcPr>
          <w:p>
            <w:pPr/>
            <w:r>
              <w:rPr>
                <w:lang w:val="zh-CN"/>
                <w:rFonts w:ascii="Times New Roman" w:hAnsi="Times New Roman" w:cs="Times New Roman"/>
                <w:sz w:val="20"/>
                <w:szCs w:val="20"/>
                <w:color w:val="000000"/>
              </w:rPr>
              <w:t>510523195302176621</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4</w:t>
            </w:r>
          </w:p>
        </w:tc>
        <w:tc>
          <w:tcPr>
            <w:tcW w:w="2310" w:type="dxa"/>
          </w:tcPr>
          <w:p>
            <w:pPr/>
            <w:r>
              <w:rPr>
                <w:lang w:val="zh-CN"/>
                <w:rFonts w:ascii="Times New Roman" w:hAnsi="Times New Roman" w:cs="Times New Roman"/>
                <w:sz w:val="20"/>
                <w:szCs w:val="20"/>
                <w:color w:val="000000"/>
              </w:rPr>
              <w:t>1599.00</w:t>
            </w:r>
          </w:p>
        </w:tc>
        <w:tc>
          <w:tcPr>
            <w:tcW w:w="2310" w:type="dxa"/>
          </w:tcPr>
          <w:p>
            <w:pPr/>
            <w:r>
              <w:rPr>
                <w:lang w:val="zh-CN"/>
                <w:rFonts w:ascii="Times New Roman" w:hAnsi="Times New Roman" w:cs="Times New Roman"/>
                <w:sz w:val="20"/>
                <w:szCs w:val="20"/>
                <w:color w:val="000000"/>
              </w:rPr>
              <w:t>6396.00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总金额：陆仟叁佰玖拾陆元整</w:t>
            </w:r>
          </w:p>
        </w:tc>
        <w:tc>
          <w:tcPr>
            <w:tcW w:w="2310" w:type="dxa"/>
            <w:textDirection w:val="right"/>
            <w:gridSpan w:val="3"/>
          </w:tcPr>
          <w:p>
            <w:pPr/>
            <w:r>
              <w:rPr>
                <w:lang w:val="zh-CN"/>
                <w:rFonts w:ascii="Times New Roman" w:hAnsi="Times New Roman" w:cs="Times New Roman"/>
                <w:b/>
                <w:color w:val="FF0000"/>
              </w:rPr>
              <w:t>6396.00</w:t>
            </w:r>
          </w:p>
        </w:tc>
      </w:tr>
      <w:tr>
        <w:tc>
          <w:tcPr>
            <w:tcW w:w="2310" w:type="dxa"/>
            <w:gridSpan w:val="8"/>
          </w:tcPr>
          <w:p>
            <w:pP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gridSpan w:val="3"/>
          </w:tcPr>
          <w:p>
            <w:pPr/>
            <w:r>
              <w:rPr>
                <w:lang w:val="zh-CN"/>
                <w:rFonts w:ascii="Times New Roman" w:hAnsi="Times New Roman" w:cs="Times New Roman"/>
                <w:sz w:val="20"/>
                <w:szCs w:val="20"/>
                <w:color w:val="000000"/>
              </w:rPr>
              <w:t>四川银行泸州分行</w:t>
            </w:r>
          </w:p>
        </w:tc>
        <w:tc>
          <w:tcPr>
            <w:tcW w:w="2310" w:type="dxa"/>
            <w:gridSpan w:val="2"/>
          </w:tcPr>
          <w:p>
            <w:pPr/>
            <w:r>
              <w:rPr>
                <w:lang w:val="zh-CN"/>
                <w:rFonts w:ascii="Times New Roman" w:hAnsi="Times New Roman" w:cs="Times New Roman"/>
                <w:sz w:val="20"/>
                <w:szCs w:val="20"/>
                <w:color w:val="000000"/>
              </w:rPr>
              <w:t>四川美途智旅文化旅游发展有限公司</w:t>
            </w:r>
          </w:p>
        </w:tc>
        <w:tc>
          <w:tcPr>
            <w:tcW w:w="2310" w:type="dxa"/>
            <w:gridSpan w:val="3"/>
          </w:tcPr>
          <w:p>
            <w:pPr/>
            <w:r>
              <w:rPr>
                <w:lang w:val="zh-CN"/>
                <w:rFonts w:ascii="Times New Roman" w:hAnsi="Times New Roman" w:cs="Times New Roman"/>
                <w:sz w:val="20"/>
                <w:szCs w:val="20"/>
                <w:color w:val="000000"/>
              </w:rPr>
              <w:t>71220100046768664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2025/04/02</w:t>
            </w:r>
          </w:p>
        </w:tc>
        <w:tc>
          <w:tcPr>
            <w:tcW w:w="2310" w:type="dxa"/>
            <w:gridSpan w:val="7"/>
          </w:tcPr>
          <w:p>
            <w:pPr/>
            <w:r>
              <w:rPr>
                <w:lang w:val="zh-CN"/>
                <w:rFonts w:ascii="Times New Roman" w:hAnsi="Times New Roman" w:cs="Times New Roman"/>
                <w:b/>
                <w:color w:val="000000"/>
              </w:rPr>
              <w:t>泸州-北京(飞机)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泸州云龙机场乘机前往北京大兴机场，抵达后乘坐大巴前往北京，入住酒店休息！***温馨提示***请携带身份证原件，小孩带户口簿原件。参考航班：泸州-北京KN565821:20-23:55/20:30-23:10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早餐：；午餐：；晚餐：；住宿：北京/燕郊</w:t>
            </w:r>
          </w:p>
        </w:tc>
      </w:tr>
      <w:tr>
        <w:tc>
          <w:tcPr>
            <w:tcW w:w="2310" w:type="dxa"/>
            <w:vAlign w:val="center"/>
            <w:vMerge w:val="restart"/>
          </w:tcPr>
          <w:p>
            <w:pPr/>
            <w:r>
              <w:rPr>
                <w:lang w:val="zh-CN"/>
                <w:rFonts w:ascii="Times New Roman" w:hAnsi="Times New Roman" w:cs="Times New Roman"/>
                <w:sz w:val="20"/>
                <w:szCs w:val="20"/>
                <w:color w:val="000000"/>
              </w:rPr>
              <w:t>2025/04/03</w:t>
            </w:r>
          </w:p>
        </w:tc>
        <w:tc>
          <w:tcPr>
            <w:tcW w:w="2310" w:type="dxa"/>
            <w:gridSpan w:val="7"/>
          </w:tcPr>
          <w:p>
            <w:pPr/>
            <w:r>
              <w:rPr>
                <w:lang w:val="zh-CN"/>
                <w:rFonts w:ascii="Times New Roman" w:hAnsi="Times New Roman" w:cs="Times New Roman"/>
                <w:b/>
                <w:color w:val="000000"/>
              </w:rPr>
              <w:t>天安门广场-毛主席纪念堂-故宫博物院-什刹海-天坛(大巴)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览【天安门广场】、【毛主席纪念堂】瞻仰毛主席遗容（政策关闭预约不上票则观外景）。外观【国家大剧院】、【人民大会堂】外景、广场中央矗立着【人民英雄纪念碑】广场西侧是【人民大会堂】，东侧面是【中国国家博物馆】，南侧是两座建于14世纪的古代城楼【正阳门】和【前门箭楼】，整个广场宏伟壮观、整齐对称、浑然一体、气势磅礴。游览【故宫博物院】故宫博物院又名紫禁城，是全世界最大的古代宫殿群，明、清两代曾有24位皇帝在此居住，仅房间就有9999间之多。让我们在此感受学习皇宫那些不为人知的奥秘，解析紫禁城的密码。细评紫禁城参考行程线路：【午门】是紫禁城南面的城门，也是这座皇城的正门,更是紫禁城四座城门中较大的一座。建于明永乐十八年，已有近600年的历史。【太和门】太和门前列铜狮一对，铜鼎四只，为明代铸造。太和门在明代是太和门在明代是“御门听政”之处，皇帝在此接受臣下的朝拜和上奏，颁发诏令，处理政事。【太和殿】如今有很多人认为太和殿平时是用于上朝的，其实不是，太和殿其实是用来举行重大典礼的场所，实际使用次数很少。【中和殿】明清两代中和殿的使用功能基本上相同，即皇帝到太和殿参加大型庆典前在此休息准备。皇帝在中和殿通常都先接受主持庆典的官员朝拜和奏事，再到太和殿参与庆典。【保和殿】清朝每年除夕、正月十五，皇帝赐宴外藩、王公及一二品大臣，场面十分壮观。赐额驸之父、有官职家属宴及每科殿试等均于保和殿举行。【乾清门】门内有一道白石栏杆的高台通道，直达乾清宫。当听政之日，门中设宝座辰时(早上7-9点)皇帝御门户、礼、兵、工、吏各部轮流奏事，然后由皇帝作出决策。【乾清宫】清朝康熙皇帝以前，这里沿袭明制，清朝顺治、康熙年间，乾清宫与政务关系相当密切，皇帝在这里读书学习、批阅奏章、召见官员、接见外国使节以及举行内廷典礼和家宴。自雍正皇帝移住养心殿以后，这里即作为皇帝召见廷臣、批阅奏章、处理日常政务、接见外藩属国陪臣和岁时受贺、举行宴筵的重要场所。【坤宁宫+交泰殿】在古代皇后的地位跟皇帝相对皇帝是天，皇后就是地。皇帝是乾皇后是坤，皇后的寝宫取自道德经中的地得一以宁这一句，故名坤宁宫，同理天得一以清,皇帝寝名乾清宫所以坤宁宫与乾清宫分别为皇后与皇帝的寝宫。.【御花园】明代称为宫后苑，清代称御花园，是汉族园林建筑之精华。始建于明永乐十八年(1420年)，以后曾有增修，现仍保留初建时的基本格局。特别赠送【什刹海风景区】这里曾经是清朝王公贵族的后花园，有“银锭观山”、“柳岸风荷”等具有百年历史美誉的自然景观。步行游览最具特色的【老北京胡同】和南锣鼓巷。这里清代起就成为游乐消夏之所，为燕京胜景之一。主要代表有恭王府及花园、宋庆龄故居及醇王府、郭沫若纪念馆、钟鼓楼、德胜门箭楼、广化寺、汇通祠、会贤堂。【天坛公园】（含首道大门票）明、清两朝皇帝祭天祈求五谷丰收的场所，被列入联合国教科文组织的《世界文化遗产名录》始建于明永乐十八年（1420年），为明、清两代帝王祭祀皇天、祈五谷丰登之场所。***温馨提示***1.毛主席纪念堂每周一或国家接待、内部维修等政策原因会关闭，如关闭只能观外景！进入毛主席纪念堂不得穿无袖上衣，不得穿拖鞋，不得携带大小包、照相机、水壶等入场参观，必须随身携带身份证。这天走路较多请穿舒适鞋子和轻便服装。2.由于天安门广场及故宫游览面积比较大，游览时间较长，本日午餐时间较迟，建议自备一些点心充饥。3.3-10月是北京旅游旺季，故宫和毛主席纪念堂限票，因为数量有限，我们尽量抢票，确实预约不上，改为外观。产生的门票现退或更换其他景点游览，费用多退少补！因门票无法预约产生的投诉，不再受理，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2025/04/04</w:t>
            </w:r>
          </w:p>
        </w:tc>
        <w:tc>
          <w:tcPr>
            <w:tcW w:w="2310" w:type="dxa"/>
            <w:gridSpan w:val="7"/>
          </w:tcPr>
          <w:p>
            <w:pPr/>
            <w:r>
              <w:rPr>
                <w:lang w:val="zh-CN"/>
                <w:rFonts w:ascii="Times New Roman" w:hAnsi="Times New Roman" w:cs="Times New Roman"/>
                <w:b/>
                <w:color w:val="000000"/>
              </w:rPr>
              <w:t>升旗仪式-八达岭长城-奥林匹克公园(大巴)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观看庄严的【升旗仪式】（由于升旗仪式时间比较早，早餐会安排路早请客人谅解）。站在天安门城楼前，齐唱雄壮的国歌，观国旗护卫队雄姿，看鲜艳的五星红旗迎风飘扬。乘车前往【八达岭长城】（游览时间约2小时）八达岭长城是明代长城的精华，是最具代表性、保存最好的一段，史称天下九塞之一。如今作为新北京十六景之一，也被联合国评为“世界文化遗产”。登长城、做好汉，一览这条巨龙古老又霸气的雄姿。参观【北京龙脉九号】龙脉瑢翠城非遗文化特产展销中心，分为上下两层。一层为非遗文化展示、北京特产展销区；二层为工艺品、古玩、玉石首饰展销区，营业面积近万平米，是北京最大的特产展销中心。提供客人选择旅途中所需购买的正规北京特产、纪念品以及馈赠亲友礼品。下午前往【奥林匹克公园】外观冰丝带、鸟巢、水立方（游览时间约1小时）外观【冰丝带】国家速滑馆又称为“冰丝带”）是2022年北京冬奥会北京主赛区标志性场馆，拥有亚洲最大的全冰面设计，冰面面积达1.2万平方米。外观【奥运鸟巢主会场】因其奇特外观而得名，整体采用“曲线箱形结构”。许多建筑界专家都认为，“鸟巢”不仅为奥运会树立一座独特的历史性的标志性建筑，而且在世界建筑发展史上也具有开创性意义。外观【水立方】为奥运会修建的主游泳馆，是根据细胞排列形式和肥皂泡天然结构设计而成的它的膜结构已成为世界之最。***温馨提示***1.因八达岭长城距离较远，加上每天排队人数车次较多，游览长城当天的叫早时间和餐时间可能会比其它几天早，请做好早起准备，早餐为打包早，敬请谅解。2.长城阶梯较高，也比较陡峭，请您和家人注意安全。务必选择穿舒适便捷的运动鞋。3.长城为游客自由参观，导游不跟团讲解敬请理解4.升旗仪式需要提前预约，如无法预约上，旅行社不予补偿,或如遇特殊情况或政策性等原因，参观不了升旗仪式，我公司不做其它补偿，请谅解，也不接受因未约上票而产生的任何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2025/04/05</w:t>
            </w:r>
          </w:p>
        </w:tc>
        <w:tc>
          <w:tcPr>
            <w:tcW w:w="2310" w:type="dxa"/>
            <w:gridSpan w:val="7"/>
          </w:tcPr>
          <w:p>
            <w:pPr/>
            <w:r>
              <w:rPr>
                <w:lang w:val="zh-CN"/>
                <w:rFonts w:ascii="Times New Roman" w:hAnsi="Times New Roman" w:cs="Times New Roman"/>
                <w:b/>
                <w:color w:val="000000"/>
              </w:rPr>
              <w:t>颐和园-清华/北大外观-圆明园(大巴)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颐和园】深度游：颐和园因集中国园林之大观而驰名中外（游览时间不低于150分钟）它是我国现存规模最大、保护最完整的皇家园林，被誉为皇家园林博物馆。晚清时期曾作为慈禧太后的颐养之地。游览皇家园林欣赏碧波荡漾的昆明湖和“万寿无疆”的万寿山颐和园游览路线：1、东宫门——光绪皇帝提匾颐和园的正大门2、仁寿殿——大清皇帝在颐和园的办公区3、玉澜堂——天子监狱，光绪皇帝人生最后十年的住所4、宜芸馆——大清最后一位皇太后隆裕的住所5、永寿斋——大清最后一位大太监李莲英的伴驾住所6、乐寿堂——慈禧的行宫，观大清第一奇石“败家石”7、邀月门——亚洲最长画廊长廊的东起点8、知春亭——昆明湖东岸，纵眺全园美景最佳位置9、文昌阁——供奉文昌帝君，保一方文风昌盛D410、铜牛——铜牛腹背上篆字书体镌刻着乾隆皇帝的四言铭文11、廓如亭——重檐八脊攒尖圆宝顶，亭中共有42根柱子12、十七孔桥——东连廓如亭，西接南湖岛，长150米，堪称中国园林中最大的桥梁13、南湖岛——昆明湖西堤以东、万寿山以南的湖水之中，与万寿山遥相呼应14、佛香阁——远眺颐和园标准性建筑，大清皇室的家庙15、绣漪桥——颐和园水路入口，俗称罗锅桥途中参观【清华大学或北京大学】外景，门前拍照留念。清华和北大都是我国最著名的大学,校园都是清朝皇家园林，清华大学的校园是乾隆年间修建的熙春园，而北京大学校园则同为乾隆年间修建的春熙苑。游览万园之园【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早餐：；午餐：含；晚餐：含；住宿：燕郊</w:t>
            </w:r>
          </w:p>
        </w:tc>
      </w:tr>
      <w:tr>
        <w:tc>
          <w:tcPr>
            <w:tcW w:w="2310" w:type="dxa"/>
            <w:vAlign w:val="center"/>
            <w:vMerge w:val="restart"/>
          </w:tcPr>
          <w:p>
            <w:pPr/>
            <w:r>
              <w:rPr>
                <w:lang w:val="zh-CN"/>
                <w:rFonts w:ascii="Times New Roman" w:hAnsi="Times New Roman" w:cs="Times New Roman"/>
                <w:sz w:val="20"/>
                <w:szCs w:val="20"/>
                <w:color w:val="000000"/>
              </w:rPr>
              <w:t>2025/04/06</w:t>
            </w:r>
          </w:p>
        </w:tc>
        <w:tc>
          <w:tcPr>
            <w:tcW w:w="2310" w:type="dxa"/>
            <w:gridSpan w:val="7"/>
          </w:tcPr>
          <w:p>
            <w:pPr/>
            <w:r>
              <w:rPr>
                <w:lang w:val="zh-CN"/>
                <w:rFonts w:ascii="Times New Roman" w:hAnsi="Times New Roman" w:cs="Times New Roman"/>
                <w:b/>
                <w:color w:val="000000"/>
              </w:rPr>
              <w:t>周邓纪念馆-古文化街-意大利风情街 (大巴)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2小时前往沿海开放城天津。天津北依燕山、南临渤海，是一座历史悠久、中国四大直辖市之一、风光秀丽的文化和旅游名城。首先游览【意大利风情旅游区】天津意式风情街原意大利租界，目前保存完整的欧洲建筑近200余栋。天津意式风情街以体现浓郁的意大利风情。街区中心喷水柱的圆形广场的名字就叫马可.波罗在意大利老租界里，还有梁启超饮冰室、曹禺故居、李叔同故居、袁世凯和冯国璋的府邸等。随后前往【古文化食品一条街】天津古文化食品街位于天津市南开区东北角东门外、海河西岸，系商业步行街，国家AAAAA级旅游景区。作为津门十景之一，天津古文化街一直坚持“中国味，天津味，文化味，古味”的经营特色。有地道美食:狗不理包子、耳朵眼炸糕、老翟药糖，张家水铺、天津麻花等，游客可自费品尝天津风味小吃“三绝“的狗不理子、耳朵眼糕和天津大麻花等众多天津小吃名吃、游客可自行购买天津特产食品。(特产食品不属于旅游商品购物店)随后乘车前往【周恩来邓颖超纪念馆】(参观约1小时)(若遇周一关闭则观外景)为全国爱国主义教育示范基地、全国廉政教育基地和国家一级博物馆。主展厅内有：周恩来生平展“人民总理周恩来”、邓颖超专题展“邓颖超—20世纪中国妇女运动的先驱”专机陈列厅陈列着苏联政府赠送给周恩来总理的伊尔—14型678号专机，为国家二级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2025/04/07</w:t>
            </w:r>
          </w:p>
        </w:tc>
        <w:tc>
          <w:tcPr>
            <w:tcW w:w="2310" w:type="dxa"/>
            <w:gridSpan w:val="7"/>
          </w:tcPr>
          <w:p>
            <w:pPr/>
            <w:r>
              <w:rPr>
                <w:lang w:val="zh-CN"/>
                <w:rFonts w:ascii="Times New Roman" w:hAnsi="Times New Roman" w:cs="Times New Roman"/>
                <w:b/>
                <w:color w:val="000000"/>
              </w:rPr>
              <w:t>北京--泸州 (飞机)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送往北京大兴机场，乘坐飞机返回当地，结束此次愉快的行程。参考航班：北京-泸州KN565717:40-20:35/16:50-19:45***温馨提示***景区内有旅游纪念品销售，非旅行社推荐，游客在景区内或自由活动期间的购物行为属于个人行为,请要求商家开具发票或购物凭证以保证您的利益。返程前，请检查好自己的行李物品。祝您家庭幸福，身体安康！注:公司保留对上述行程以及用餐的最终解释权，请以出发前确认行程为准，本公司有权对上述行程次序景点、航宿地点作临时修改、变动或更换，不再做预先通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早餐：含；午餐：；晚餐：；住宿：无</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从自愿参观理性购买原则。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3、在实际游览过程中我社可根据实际情况，在不减少游览景点和游览时间的前提下对景点的游览顺序作合理的调整。4、行程中赠游景点如遇景区特殊原因或人力不可抗拒因素导致无法参观，我社有权无偿取消赠游景点并通知游客。5、行程中如有因航班时间原因无法使用的正餐或门票的，由当地导游根据实际情况将未产生的费用现退给客人，客人签名确认。如果因客人自身原因造成的，其未产生的所有费用概不退还。此线路为特价团，不做任何门票优惠（如老人证、学生证、军官证等）一经报名确认，费用不退，敬请注意！接待标准报名须知6、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本行程往返航班7时间及进出港口以出票为准，我社将根据具体时间和进出港口调整行程，以我社计调最后的行程确认为准；我社有权根据具体航班调整景点游览的先后顺序，变更住宿地点（城市），保证不减少景点和游览时间。7、团队接待质量以客人意见单为准，如客人在当地无异议，返回后我社概不接受投诉；对于客人在行程中反应的问题或投诉，我社将会及时做出处理或补救。8、导游会在出发前一天联系客人，请客人保持手机畅通，注意短信通知。此团为散拼团，抵达北京/天津后，抵达时间前后2小时内的团友拼车接送，等候总时长不超过2小时，由司机送到酒店,入住酒店。9、线路在销售过程中因机票/火车票/销售活动等原因导致客人在不同时期报名出现价格差异的情况，客人一经报名确认，价格差额一律不予退还，团体机票开票后，不得改签、退票和换名；请知悉！！10、特殊人群参团警示：A、70周岁或以上，75周岁以下可以报名参团，需要出游人本人和直系亲属签署“老年人出游免责承诺书”并且必须有年轻健康的亲属陪同。B、患有心脏病.高血压.糖尿病.冠心病等，建议不参加本团，如强烈要求参团，请提前告知我社，并且必须有年轻健康的亲属陪同。C、癌症、癫痫/小儿麻痹症，及有听力视力障碍者，身体残疾行动不便者，有精神疾病无行为控制能力者及孕妇，恕不能参团，望请谅解。如游客隐瞒参团而发生事故我社不承担任何连带责任D、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依据《旅游法》第三十五条之规定，在不影响正常行程安排的自由活动时间。由甲方(游客)提出，经旅游者和旅行社双方协商一致，旅游者自愿签署本补充协议，并作为双方签署的旅游合同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余友</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20955</wp:posOffset>
                        </wp:positionV>
                        <wp:extent cx="1440180" cy="1414145"/>
                        <wp:effectExtent l="0" t="0" r="7620" b="14605"/>
                        <wp:wrapNone/>
                        <wp:docPr id="1" name="图片 1" descr="424433ef2f5afff83175d169407f1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433ef2f5afff83175d169407f1fb"/>
                                <pic:cNvPicPr>
                                  <a:picLocks noChangeAspect="1"/>
                                </pic:cNvPicPr>
                              </pic:nvPicPr>
                              <pic:blipFill>
                                <a:blip r:embed="rId4"/>
                                <a:srcRect l="9753" t="9398" r="11598" b="6019"/>
                                <a:stretch>
                                  <a:fillRect/>
                                </a:stretch>
                              </pic:blipFill>
                              <pic:spPr>
                                <a:xfrm>
                                  <a:off x="0" y="0"/>
                                  <a:ext cx="1440180" cy="141414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rPr>
                  </w:pPr>
                  <w:r>
                    <w:rPr>
                      <w:rFonts w:hint="eastAsia" w:asciiTheme="minorEastAsia" w:hAnsiTheme="minorEastAsia"/>
                    </w:rPr>
                    <w:t>乙方经办人：@Em</w:t>
                  </w:r>
                </w:p>
                <w:p>
                  <w:pPr>
                    <w:ind w:firstLine="420"/>
                    <w:rPr>
                      <w:rFonts w:hint="eastAsia" w:asciiTheme="minorEastAsia" w:hAnsiTheme="minorEastAsia" w:eastAsiaTheme="minorEastAsia"/>
                      <w:lang w:eastAsia="zh-CN"/>
                    </w:rPr>
                  </w:pPr>
                  <w:r>
                    <w:rPr>
                      <w:rFonts w:hint="eastAsia" w:asciiTheme="minorEastAsia" w:hAnsiTheme="minorEastAsia"/>
                    </w:rPr>
                    <w:t>Name</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3</w:t>
                  </w:r>
                  <w:r>
                    <w:rPr>
                      <w:rFonts w:hint="eastAsia" w:asciiTheme="minorEastAsia" w:hAnsiTheme="minorEastAsia"/>
                    </w:rPr>
                    <w:t xml:space="preserve">月 </w:t>
                  </w:r>
                  <w:r>
                    <w:rPr>
                      <w:rFonts w:hint="eastAsia" w:asciiTheme="minorEastAsia" w:hAnsiTheme="minorEastAsia"/>
                    </w:rPr>
                    <w:t>30</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2025/3/30 10:29:01</w:t>
      </w:r>
    </w:p>
    <w:p>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9521EDE"/>
    <w:rsid w:val="0DBE4390"/>
    <w:rsid w:val="117B1437"/>
    <w:rsid w:val="1408504A"/>
    <w:rsid w:val="1550363E"/>
    <w:rsid w:val="19DB154C"/>
    <w:rsid w:val="1D18009A"/>
    <w:rsid w:val="205E79E2"/>
    <w:rsid w:val="21EB6D4E"/>
    <w:rsid w:val="228E549B"/>
    <w:rsid w:val="28486BB6"/>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1</TotalTime>
  <ScaleCrop>false</ScaleCrop>
  <LinksUpToDate>false</LinksUpToDate>
  <CharactersWithSpaces>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2024-06-05T08:11:15Z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0DF6FB064FCB4AF0AF8838D3342901FB_13</vt:lpwstr>
  </property>
</Properties>
</file>