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自贡青旅塘坎上店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毛丽敏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  18980235707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卢小兰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17361126820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PKX06CY250422A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2025-04-22 KN5658 泸州→北京大兴 20:30-23:10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2025-04-27 KN5657 北京大兴→泸州 17:40-20:3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1、王红</w:t>
            </w:r>
          </w:p>
        </w:tc>
        <w:tc>
          <w:tcPr>
            <w:tcW w:w="2310" w:type="dxa"/>
            <w:vAlign w:val="center"/>
            <w:gridSpan w:val="2"/>
          </w:tcPr>
          <w:p>
            <w:pPr/>
            <w:r>
              <w:rPr>
                <w:lang w:val="zh-CN"/>
                <w:rFonts w:ascii="Times New Roman" w:hAnsi="Times New Roman" w:cs="Times New Roman"/>
                <w:sz w:val="20"/>
                <w:szCs w:val="20"/>
                <w:color w:val="000000"/>
              </w:rPr>
              <w:t>510304197109101520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2、王小洁</w:t>
            </w:r>
          </w:p>
        </w:tc>
        <w:tc>
          <w:tcPr>
            <w:tcW w:w="2310" w:type="dxa"/>
            <w:vAlign w:val="center"/>
            <w:gridSpan w:val="2"/>
          </w:tcPr>
          <w:p>
            <w:pPr/>
            <w:r>
              <w:rPr>
                <w:lang w:val="zh-CN"/>
                <w:rFonts w:ascii="Times New Roman" w:hAnsi="Times New Roman" w:cs="Times New Roman"/>
                <w:sz w:val="20"/>
                <w:szCs w:val="20"/>
                <w:color w:val="000000"/>
              </w:rPr>
              <w:t>51030220040923102X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3、黄俊英</w:t>
            </w:r>
          </w:p>
        </w:tc>
        <w:tc>
          <w:tcPr>
            <w:tcW w:w="2310" w:type="dxa"/>
            <w:vAlign w:val="center"/>
            <w:gridSpan w:val="2"/>
          </w:tcPr>
          <w:p>
            <w:pPr/>
            <w:r>
              <w:rPr>
                <w:lang w:val="zh-CN"/>
                <w:rFonts w:ascii="Times New Roman" w:hAnsi="Times New Roman" w:cs="Times New Roman"/>
                <w:sz w:val="20"/>
                <w:szCs w:val="20"/>
                <w:color w:val="000000"/>
              </w:rPr>
              <w:t>510304197311021022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4、唐春容</w:t>
            </w:r>
          </w:p>
        </w:tc>
        <w:tc>
          <w:tcPr>
            <w:tcW w:w="2310" w:type="dxa"/>
            <w:vAlign w:val="center"/>
            <w:gridSpan w:val="2"/>
          </w:tcPr>
          <w:p>
            <w:pPr/>
            <w:r>
              <w:rPr>
                <w:lang w:val="zh-CN"/>
                <w:rFonts w:ascii="Times New Roman" w:hAnsi="Times New Roman" w:cs="Times New Roman"/>
                <w:sz w:val="20"/>
                <w:szCs w:val="20"/>
                <w:color w:val="000000"/>
              </w:rPr>
              <w:t>510304197102200024</w:t>
            </w:r>
          </w:p>
        </w:tc>
        <w:tc>
          <w:tcPr>
            <w:tcW w:w="2310" w:type="dxa"/>
            <w:vAlign w:val="center"/>
          </w:tcPr>
          <w:p>
            <w:pPr/>
            <w:r>
              <w:rPr>
                <w:lang w:val="zh-CN"/>
                <w:rFonts w:ascii="Times New Roman" w:hAnsi="Times New Roman" w:cs="Times New Roman"/>
                <w:sz w:val="20"/>
                <w:szCs w:val="20"/>
                <w:color w:val="000000"/>
              </w:rPr>
              <w:t>13438507530</w:t>
            </w:r>
          </w:p>
        </w:tc>
      </w:tr>
      <w:tr>
        <w:tc>
          <w:tcPr>
            <w:tcW w:w="2310" w:type="dxa"/>
            <w:vAlign w:val="center"/>
          </w:tcPr>
          <w:p>
            <w:pPr/>
            <w:r>
              <w:rPr>
                <w:lang w:val="zh-CN"/>
                <w:rFonts w:ascii="Times New Roman" w:hAnsi="Times New Roman" w:cs="Times New Roman"/>
                <w:sz w:val="20"/>
                <w:szCs w:val="20"/>
                <w:color w:val="000000"/>
              </w:rPr>
              <w:t>5、吕鹏宇</w:t>
            </w:r>
          </w:p>
        </w:tc>
        <w:tc>
          <w:tcPr>
            <w:tcW w:w="2310" w:type="dxa"/>
            <w:vAlign w:val="center"/>
            <w:gridSpan w:val="2"/>
          </w:tcPr>
          <w:p>
            <w:pPr/>
            <w:r>
              <w:rPr>
                <w:lang w:val="zh-CN"/>
                <w:rFonts w:ascii="Times New Roman" w:hAnsi="Times New Roman" w:cs="Times New Roman"/>
                <w:sz w:val="20"/>
                <w:szCs w:val="20"/>
                <w:color w:val="000000"/>
              </w:rPr>
              <w:t>510302200107312035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1800.00</w:t>
            </w:r>
          </w:p>
        </w:tc>
        <w:tc>
          <w:tcPr>
            <w:tcW w:w="2310" w:type="dxa"/>
          </w:tcPr>
          <w:p>
            <w:pPr/>
            <w:r>
              <w:rPr>
                <w:lang w:val="zh-CN"/>
                <w:rFonts w:ascii="Times New Roman" w:hAnsi="Times New Roman" w:cs="Times New Roman"/>
                <w:sz w:val="20"/>
                <w:szCs w:val="20"/>
                <w:color w:val="000000"/>
              </w:rPr>
              <w:t>9000.00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总金额：玖仟元整</w:t>
            </w:r>
          </w:p>
        </w:tc>
        <w:tc>
          <w:tcPr>
            <w:tcW w:w="2310" w:type="dxa"/>
            <w:textDirection w:val="right"/>
            <w:gridSpan w:val="3"/>
          </w:tcPr>
          <w:p>
            <w:pPr/>
            <w:r>
              <w:rPr>
                <w:lang w:val="zh-CN"/>
                <w:rFonts w:ascii="Times New Roman" w:hAnsi="Times New Roman" w:cs="Times New Roman"/>
                <w:b/>
                <w:color w:val="FF0000"/>
              </w:rPr>
              <w:t>9000.00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泸州云龙机场乘机前往北京大兴机场，导游接机前往入住酒店休息。***温馨提示***请携带身份证原件，小孩带户口簿原件。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早餐：；午餐：；晚餐：；住宿：北京/燕郊</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天安门广场-毛主席纪念堂-故宫-什刹海风景区-天坛公园(大巴)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天安门广场】瞻仰【人民英雄纪念碑】在广场上拍照留念每人赠送一张天安门集体照。瞻仰【毛主席纪念堂】（游览时间约1小时），参观毛主席纪念堂：缅怀以毛泽东同志为首的无产阶级革命家在人民英雄纪念碑前纪念中国近现代史上的革命烈士。外观党和国家及各人民团体举行政治活动的场所【人民大会堂】外观。游览【故宫博物院】故宫博物院又名紫禁城，是全世界最大的古代宫殿群，明清两代曾有24位皇帝在此居住，仅房间就有9999间之多。参考游览线路：【午门】是紫禁城南面的城门，也是这座皇城的正门，更是紫禁城四座城们中较大的一座建于明永乐十八年，已有近600年的历史。【太和门】太和门前列铜狮一对，铜鼎四只，为明代铸造。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2【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宫名乾清宫。所以坤宁宫与乾清宫分别为皇后与皇帝的寝宫。【御花园】明代称为宫后苑，清代称御花园，是汉族园林建筑之精华。始建于明永乐十八年(1420年)，以后曾有增修，现仍保留初建时的基本格局。游览【天坛公园】（含首道大门票）明、清两朝皇帝祭天祈求五谷丰收的场所，被列入联合国教科文组织的《世界文化遗产名录》始建于明永乐十八年（1420年），为明、清两代帝王祭祀皇天、祈五谷丰登之场所。特别赠送【什刹海风景区】(约90分钟)，这里曾经是清朝王公贵族的后花园，有“银锭观山”、“柳岸风荷”等具有百年历史美誉的自然景观。***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3.6-10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升旗仪式-八达岭长城-奥林匹克公园(鸟巢·水立方·冰丝带外观)(大巴)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随后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下午前往【奥林匹克公园】（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独家升级晚餐：价值198元/人·北京宫廷文旅演艺餐【便宜坊宫廷宴】◆便宜坊【宫廷宴】菜单：8大创意主菜（含精品烤鸭1份）+御膳鸭汤***温馨提示***1.因八达岭长城距离较远，加上每天排队人数车次较多，游览长城当天的叫早时间和早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天津意大利风情街-古文化食品街-周邓纪念馆(大巴)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叫马可·波罗。在意大利老租界里，还有梁启超的饮冰室、曹禺故居、李叔同故居、袁世凯及冯国璋的府邸等。随后前往【古文化食品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包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根据航班时间送往机场，乘坐飞机返回泸州，结束此次愉快的行程。 ***温馨提示***景区内有旅游纪念品销售，非旅行社推荐，游客在景区内或自由活动期间的购物行为属于个人行为，请要求商家开具发票或购物凭证以保证您的利益。返程前，请检查好自己的行李物品。祝您家庭幸福，身体安康！_____________________________________________________________________________________________ 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泸州=北京大兴往返经济舱机票；北京空调旅游大巴车。2、住宿：全程入住商务型酒店（备注：6-10月是北京的旅游旺季，不指定住宿位置，安排北京5.6环酒店或燕郊酒店）3、用餐：5早8正，早餐为酒店打包早餐，儿童不占床不含早。正餐20元/正，特色餐：天津狗不理包子、北京烤鸭、春饼宴。4、门票：行程所列景点首道大门票。5、导服：当地优秀导游服务或景区讲解员。6、保险：包含旅行社责任险，旅游意外保险。7、购物：纯玩0购物，仅天津麻花土特产不算店。8、儿童：只含餐费车位导服接送，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推荐自费项目：奥运演出备选节目+奥运观光巴士+故宫摆渡车+耳麦+颐和园游船或天津游船=380/人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中遇到的景点、博物馆、餐厅内设立的购物场所，均不属于旅行社指定购物点，客人遵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一．全程绝不强制消费，除本补充协议约定的自费项目外，无其他消费。二．各地特产超市为各地特色美食品尝赠送，不计为购物店，请您选择性品尝。三．本协议经甲乙双方签订之日起生效，协议一式两份，双方各执一份，本协议系双方签订的旅游合同的组成部分，与旅游合同具有同等法律效力。甲方就上述自愿增加的自费项目对我进行了全面告知、提醒，我经慎重考虑后，自愿选择并参加，乙方无强迫。并提示我理性消费和注意自身的人身财产安全，如因我自身原因取消或因乙方不能控制因素无法安排的，甲方予以理解。我同意此行程和补充协议作为双方签署的旅游合同不可分割的组成部分。甲方(游客)：乙方(组团社)：年月日年月日</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毛丽敏</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卢小兰</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2025/4/12 13:25:35</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