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四川美途文化旅游产业投资有限公司团队/散客确认书</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内江百事通和平街门店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罗荣</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13981449776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四川美途文化旅游产业投资有限公司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陈艳梅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15682323529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PKX06KN250908A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泸州=北京双飞6日游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KN5658 泸州→北京大兴 21:20-23:55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2025-09-13 KN5657 北京大兴→泸州 17:40-20:3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1、邹玲</w:t>
            </w:r>
          </w:p>
        </w:tc>
        <w:tc>
          <w:tcPr>
            <w:tcW w:w="2310" w:type="dxa"/>
            <w:vAlign w:val="center"/>
            <w:gridSpan w:val="2"/>
          </w:tcPr>
          <w:p>
            <w:pPr/>
            <w:r>
              <w:rPr>
                <w:lang w:val="zh-CN"/>
                <w:rFonts w:ascii="Times New Roman" w:hAnsi="Times New Roman" w:cs="Times New Roman"/>
                <w:sz w:val="20"/>
                <w:szCs w:val="20"/>
                <w:color w:val="000000"/>
              </w:rPr>
              <w:t>511127197301090942</w:t>
            </w:r>
          </w:p>
        </w:tc>
        <w:tc>
          <w:tcPr>
            <w:tcW w:w="2310" w:type="dxa"/>
            <w:vAlign w:val="center"/>
          </w:tcPr>
          <w:p>
            <w:pPr/>
            <w:r>
              <w:rPr>
                <w:lang w:val="zh-CN"/>
                <w:rFonts w:ascii="Times New Roman" w:hAnsi="Times New Roman" w:cs="Times New Roman"/>
                <w:sz w:val="20"/>
                <w:szCs w:val="20"/>
                <w:color w:val="000000"/>
              </w:rPr>
              <w:t>15884880021</w:t>
            </w:r>
          </w:p>
        </w:tc>
        <w:tc>
          <w:tcPr>
            <w:tcW w:w="2310" w:type="dxa"/>
            <w:vAlign w:val="center"/>
          </w:tcPr>
          <w:p>
            <w:pPr/>
            <w:r>
              <w:rPr>
                <w:lang w:val="zh-CN"/>
                <w:rFonts w:ascii="Times New Roman" w:hAnsi="Times New Roman" w:cs="Times New Roman"/>
                <w:sz w:val="20"/>
                <w:szCs w:val="20"/>
                <w:color w:val="000000"/>
              </w:rPr>
              <w:t>2、邹亮锐</w:t>
            </w:r>
          </w:p>
        </w:tc>
        <w:tc>
          <w:tcPr>
            <w:tcW w:w="2310" w:type="dxa"/>
            <w:vAlign w:val="center"/>
            <w:gridSpan w:val="2"/>
          </w:tcPr>
          <w:p>
            <w:pPr/>
            <w:r>
              <w:rPr>
                <w:lang w:val="zh-CN"/>
                <w:rFonts w:ascii="Times New Roman" w:hAnsi="Times New Roman" w:cs="Times New Roman"/>
                <w:sz w:val="20"/>
                <w:szCs w:val="20"/>
                <w:color w:val="000000"/>
              </w:rPr>
              <w:t>511127194504244514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1099.00</w:t>
            </w:r>
          </w:p>
        </w:tc>
        <w:tc>
          <w:tcPr>
            <w:tcW w:w="2310" w:type="dxa"/>
          </w:tcPr>
          <w:p>
            <w:pPr/>
            <w:r>
              <w:rPr>
                <w:lang w:val="zh-CN"/>
                <w:rFonts w:ascii="Times New Roman" w:hAnsi="Times New Roman" w:cs="Times New Roman"/>
                <w:sz w:val="20"/>
                <w:szCs w:val="20"/>
                <w:color w:val="000000"/>
              </w:rPr>
              <w:t>2198.00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总金额：贰仟壹佰玖拾捌元整</w:t>
            </w:r>
          </w:p>
        </w:tc>
        <w:tc>
          <w:tcPr>
            <w:tcW w:w="2310" w:type="dxa"/>
            <w:textDirection w:val="right"/>
            <w:gridSpan w:val="3"/>
          </w:tcPr>
          <w:p>
            <w:pPr/>
            <w:r>
              <w:rPr>
                <w:lang w:val="zh-CN"/>
                <w:rFonts w:ascii="Times New Roman" w:hAnsi="Times New Roman" w:cs="Times New Roman"/>
                <w:b/>
                <w:color w:val="FF0000"/>
              </w:rPr>
              <w:t>2198.00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招商银行泸州分行</w:t>
            </w:r>
          </w:p>
        </w:tc>
        <w:tc>
          <w:tcPr>
            <w:tcW w:w="2310" w:type="dxa"/>
            <w:gridSpan w:val="2"/>
          </w:tcPr>
          <w:p>
            <w:pPr/>
            <w:r>
              <w:rPr>
                <w:lang w:val="zh-CN"/>
                <w:rFonts w:ascii="Times New Roman" w:hAnsi="Times New Roman" w:cs="Times New Roman"/>
                <w:sz w:val="20"/>
                <w:szCs w:val="20"/>
                <w:color w:val="000000"/>
              </w:rPr>
              <w:t>四川美途文化旅游产业投资有限公司</w:t>
            </w:r>
          </w:p>
        </w:tc>
        <w:tc>
          <w:tcPr>
            <w:tcW w:w="2310" w:type="dxa"/>
            <w:gridSpan w:val="3"/>
          </w:tcPr>
          <w:p>
            <w:pPr/>
            <w:r>
              <w:rPr>
                <w:lang w:val="zh-CN"/>
                <w:rFonts w:ascii="Times New Roman" w:hAnsi="Times New Roman" w:cs="Times New Roman"/>
                <w:sz w:val="20"/>
                <w:szCs w:val="20"/>
                <w:color w:val="000000"/>
              </w:rPr>
              <w:t>830900063110801</w:t>
            </w:r>
          </w:p>
        </w:tc>
      </w:tr>
      <w:tr>
        <w:tc>
          <w:tcPr>
            <w:tcW w:w="2310" w:type="dxa"/>
            <w:gridSpan w:val="3"/>
          </w:tcPr>
          <w:p>
            <w:pPr/>
            <w:r>
              <w:rPr>
                <w:lang w:val="zh-CN"/>
                <w:rFonts w:ascii="Times New Roman" w:hAnsi="Times New Roman" w:cs="Times New Roman"/>
                <w:sz w:val="20"/>
                <w:szCs w:val="20"/>
                <w:color w:val="000000"/>
              </w:rPr>
              <w:t>建设银行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6227003591780108765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6228482108309076478</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万美旅游</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懒虫国旅</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梦之旅</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6212262304001578214</w:t>
            </w:r>
          </w:p>
        </w:tc>
      </w:tr>
      <w:tr>
        <w:tc>
          <w:tcPr>
            <w:tcW w:w="2310" w:type="dxa"/>
            <w:gridSpan w:val="3"/>
          </w:tcPr>
          <w:p>
            <w:pPr/>
            <w:r>
              <w:rPr>
                <w:lang w:val="zh-CN"/>
                <w:rFonts w:ascii="Times New Roman" w:hAnsi="Times New Roman" w:cs="Times New Roman"/>
                <w:sz w:val="20"/>
                <w:szCs w:val="20"/>
                <w:color w:val="000000"/>
              </w:rPr>
              <w:t>招商银行泸州分行</w:t>
            </w:r>
          </w:p>
        </w:tc>
        <w:tc>
          <w:tcPr>
            <w:tcW w:w="2310" w:type="dxa"/>
            <w:gridSpan w:val="2"/>
          </w:tcPr>
          <w:p>
            <w:pPr/>
            <w:r>
              <w:rPr>
                <w:lang w:val="zh-CN"/>
                <w:rFonts w:ascii="Times New Roman" w:hAnsi="Times New Roman" w:cs="Times New Roman"/>
                <w:sz w:val="20"/>
                <w:szCs w:val="20"/>
                <w:color w:val="000000"/>
              </w:rPr>
              <w:t>董杰</w:t>
            </w:r>
          </w:p>
        </w:tc>
        <w:tc>
          <w:tcPr>
            <w:tcW w:w="2310" w:type="dxa"/>
            <w:gridSpan w:val="3"/>
          </w:tcPr>
          <w:p>
            <w:pPr/>
            <w:r>
              <w:rPr>
                <w:lang w:val="zh-CN"/>
                <w:rFonts w:ascii="Times New Roman" w:hAnsi="Times New Roman" w:cs="Times New Roman"/>
                <w:sz w:val="20"/>
                <w:szCs w:val="20"/>
                <w:color w:val="000000"/>
              </w:rPr>
              <w:t>6225888610062758</w:t>
            </w:r>
          </w:p>
        </w:tc>
      </w:tr>
      <w:tr>
        <w:tc>
          <w:tcPr>
            <w:tcW w:w="2310" w:type="dxa"/>
            <w:gridSpan w:val="3"/>
          </w:tcPr>
          <w:p>
            <w:pPr/>
            <w:r>
              <w:rPr>
                <w:lang w:val="zh-CN"/>
                <w:rFonts w:ascii="Times New Roman" w:hAnsi="Times New Roman" w:cs="Times New Roman"/>
                <w:sz w:val="20"/>
                <w:szCs w:val="20"/>
                <w:color w:val="000000"/>
              </w:rPr>
              <w:t>招商银行泸州分行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6214868617878888</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董杰</w:t>
            </w:r>
          </w:p>
        </w:tc>
        <w:tc>
          <w:tcPr>
            <w:tcW w:w="2310" w:type="dxa"/>
            <w:gridSpan w:val="3"/>
          </w:tcPr>
          <w:p>
            <w:pPr/>
            <w:r>
              <w:rPr>
                <w:lang w:val="zh-CN"/>
                <w:rFonts w:ascii="Times New Roman" w:hAnsi="Times New Roman" w:cs="Times New Roman"/>
                <w:sz w:val="20"/>
                <w:szCs w:val="20"/>
                <w:color w:val="000000"/>
              </w:rPr>
              <w:t>6228482109615776678</w:t>
            </w:r>
          </w:p>
        </w:tc>
      </w:tr>
      <w:tr>
        <w:tc>
          <w:tcPr>
            <w:tcW w:w="2310" w:type="dxa"/>
            <w:gridSpan w:val="3"/>
          </w:tcPr>
          <w:p>
            <w:pPr/>
            <w:r>
              <w:rPr>
                <w:lang w:val="zh-CN"/>
                <w:rFonts w:ascii="Times New Roman" w:hAnsi="Times New Roman" w:cs="Times New Roman"/>
                <w:sz w:val="20"/>
                <w:szCs w:val="20"/>
                <w:color w:val="000000"/>
              </w:rPr>
              <w:t>民生银行</w:t>
            </w:r>
          </w:p>
        </w:tc>
        <w:tc>
          <w:tcPr>
            <w:tcW w:w="2310" w:type="dxa"/>
            <w:gridSpan w:val="2"/>
          </w:tcPr>
          <w:p>
            <w:pPr/>
            <w:r>
              <w:rPr>
                <w:lang w:val="zh-CN"/>
                <w:rFonts w:ascii="Times New Roman" w:hAnsi="Times New Roman" w:cs="Times New Roman"/>
                <w:sz w:val="20"/>
                <w:szCs w:val="20"/>
                <w:color w:val="000000"/>
              </w:rPr>
              <w:t>董杰</w:t>
            </w:r>
          </w:p>
        </w:tc>
        <w:tc>
          <w:tcPr>
            <w:tcW w:w="2310" w:type="dxa"/>
            <w:gridSpan w:val="3"/>
          </w:tcPr>
          <w:p>
            <w:pPr/>
            <w:r>
              <w:rPr>
                <w:lang w:val="zh-CN"/>
                <w:rFonts w:ascii="Times New Roman" w:hAnsi="Times New Roman" w:cs="Times New Roman"/>
                <w:sz w:val="20"/>
                <w:szCs w:val="20"/>
                <w:color w:val="000000"/>
              </w:rPr>
              <w:t>622622110548678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董杰</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董杰</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微信1</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支付宝1</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招行泸州分行</w:t>
            </w:r>
          </w:p>
        </w:tc>
        <w:tc>
          <w:tcPr>
            <w:tcW w:w="2310" w:type="dxa"/>
            <w:gridSpan w:val="2"/>
          </w:tcPr>
          <w:p>
            <w:pPr/>
            <w:r>
              <w:rPr>
                <w:lang w:val="zh-CN"/>
                <w:rFonts w:ascii="Times New Roman" w:hAnsi="Times New Roman" w:cs="Times New Roman"/>
                <w:sz w:val="20"/>
                <w:szCs w:val="20"/>
                <w:color w:val="000000"/>
              </w:rPr>
              <w:t>泸州行游天下航旅旅游发展有限公司</w:t>
            </w:r>
          </w:p>
        </w:tc>
        <w:tc>
          <w:tcPr>
            <w:tcW w:w="2310" w:type="dxa"/>
            <w:gridSpan w:val="3"/>
          </w:tcPr>
          <w:p>
            <w:pPr/>
            <w:r>
              <w:rPr>
                <w:lang w:val="zh-CN"/>
                <w:rFonts w:ascii="Times New Roman" w:hAnsi="Times New Roman" w:cs="Times New Roman"/>
                <w:sz w:val="20"/>
                <w:szCs w:val="20"/>
                <w:color w:val="000000"/>
              </w:rPr>
              <w:t>830900278710201</w:t>
            </w:r>
          </w:p>
        </w:tc>
      </w:tr>
      <w:tr>
        <w:tc>
          <w:tcPr>
            <w:tcW w:w="2310" w:type="dxa"/>
            <w:gridSpan w:val="3"/>
          </w:tcPr>
          <w:p>
            <w:pPr/>
            <w:r>
              <w:rPr>
                <w:lang w:val="zh-CN"/>
                <w:rFonts w:ascii="Times New Roman" w:hAnsi="Times New Roman" w:cs="Times New Roman"/>
                <w:sz w:val="20"/>
                <w:szCs w:val="20"/>
                <w:color w:val="000000"/>
              </w:rPr>
              <w:t>携程/百事通/去哪儿</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盈科</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重庆银行泸州分行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6230960001000762347</w:t>
            </w:r>
          </w:p>
        </w:tc>
      </w:tr>
      <w:tr>
        <w:tc>
          <w:tcPr>
            <w:tcW w:w="2310" w:type="dxa"/>
            <w:gridSpan w:val="3"/>
          </w:tcPr>
          <w:p>
            <w:pPr/>
            <w:r>
              <w:rPr>
                <w:lang w:val="zh-CN"/>
                <w:rFonts w:ascii="Times New Roman" w:hAnsi="Times New Roman" w:cs="Times New Roman"/>
                <w:sz w:val="20"/>
                <w:szCs w:val="20"/>
                <w:color w:val="000000"/>
              </w:rPr>
              <w:t>港中旅</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四川银行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6230481100000086218</w:t>
            </w:r>
          </w:p>
        </w:tc>
      </w:tr>
      <w:tr>
        <w:tc>
          <w:tcPr>
            <w:tcW w:w="2310" w:type="dxa"/>
            <w:gridSpan w:val="3"/>
          </w:tcPr>
          <w:p>
            <w:pPr/>
            <w:r>
              <w:rPr>
                <w:lang w:val="zh-CN"/>
                <w:rFonts w:ascii="Times New Roman" w:hAnsi="Times New Roman" w:cs="Times New Roman"/>
                <w:sz w:val="20"/>
                <w:szCs w:val="20"/>
                <w:color w:val="000000"/>
              </w:rPr>
              <w:t>泸州银行江阳西路支行</w:t>
            </w:r>
          </w:p>
        </w:tc>
        <w:tc>
          <w:tcPr>
            <w:tcW w:w="2310" w:type="dxa"/>
            <w:gridSpan w:val="2"/>
          </w:tcPr>
          <w:p>
            <w:pPr/>
            <w:r>
              <w:rPr>
                <w:lang w:val="zh-CN"/>
                <w:rFonts w:ascii="Times New Roman" w:hAnsi="Times New Roman" w:cs="Times New Roman"/>
                <w:sz w:val="20"/>
                <w:szCs w:val="20"/>
                <w:color w:val="000000"/>
              </w:rPr>
              <w:t>四川美途文化旅游产业投资有限公司</w:t>
            </w:r>
          </w:p>
        </w:tc>
        <w:tc>
          <w:tcPr>
            <w:tcW w:w="2310" w:type="dxa"/>
            <w:gridSpan w:val="3"/>
          </w:tcPr>
          <w:p>
            <w:pPr/>
            <w:r>
              <w:rPr>
                <w:lang w:val="zh-CN"/>
                <w:rFonts w:ascii="Times New Roman" w:hAnsi="Times New Roman" w:cs="Times New Roman"/>
                <w:sz w:val="20"/>
                <w:szCs w:val="20"/>
                <w:color w:val="000000"/>
              </w:rPr>
              <w:t>2010900000185491</w:t>
            </w:r>
          </w:p>
        </w:tc>
      </w:tr>
      <w:tr>
        <w:tc>
          <w:tcPr>
            <w:tcW w:w="2310" w:type="dxa"/>
            <w:gridSpan w:val="3"/>
          </w:tcPr>
          <w:p>
            <w:pPr/>
            <w:r>
              <w:rPr>
                <w:lang w:val="zh-CN"/>
                <w:rFonts w:ascii="Times New Roman" w:hAnsi="Times New Roman" w:cs="Times New Roman"/>
                <w:sz w:val="20"/>
                <w:szCs w:val="20"/>
                <w:color w:val="000000"/>
              </w:rPr>
              <w:t>建华</w:t>
            </w:r>
          </w:p>
        </w:tc>
        <w:tc>
          <w:tcPr>
            <w:tcW w:w="2310" w:type="dxa"/>
            <w:gridSpan w:val="2"/>
          </w:tcPr>
          <w:p>
            <w:pPr/>
            <w:r>
              <w:rPr>
                <w:lang w:val="zh-CN"/>
                <w:rFonts w:ascii="Times New Roman" w:hAnsi="Times New Roman" w:cs="Times New Roman"/>
                <w:sz w:val="20"/>
                <w:szCs w:val="20"/>
                <w:color w:val="000000"/>
              </w:rPr>
              <w:t>-</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泸州银行龙马潭支行</w:t>
            </w:r>
          </w:p>
        </w:tc>
        <w:tc>
          <w:tcPr>
            <w:tcW w:w="2310" w:type="dxa"/>
            <w:gridSpan w:val="2"/>
          </w:tcPr>
          <w:p>
            <w:pPr/>
            <w:r>
              <w:rPr>
                <w:lang w:val="zh-CN"/>
                <w:rFonts w:ascii="Times New Roman" w:hAnsi="Times New Roman" w:cs="Times New Roman"/>
                <w:sz w:val="20"/>
                <w:szCs w:val="20"/>
                <w:color w:val="000000"/>
              </w:rPr>
              <w:t>陈艳梅</w:t>
            </w:r>
          </w:p>
        </w:tc>
        <w:tc>
          <w:tcPr>
            <w:tcW w:w="2310" w:type="dxa"/>
            <w:gridSpan w:val="3"/>
          </w:tcPr>
          <w:p>
            <w:pPr/>
            <w:r>
              <w:rPr>
                <w:lang w:val="zh-CN"/>
                <w:rFonts w:ascii="Times New Roman" w:hAnsi="Times New Roman" w:cs="Times New Roman"/>
                <w:sz w:val="20"/>
                <w:szCs w:val="20"/>
                <w:color w:val="000000"/>
              </w:rPr>
              <w:t>6230851008000139402</w:t>
            </w:r>
          </w:p>
        </w:tc>
      </w:tr>
      <w:tr>
        <w:tc>
          <w:tcPr>
            <w:tcW w:w="2310" w:type="dxa"/>
            <w:gridSpan w:val="3"/>
          </w:tcPr>
          <w:p>
            <w:pPr/>
            <w:r>
              <w:rPr>
                <w:lang w:val="zh-CN"/>
                <w:rFonts w:ascii="Times New Roman" w:hAnsi="Times New Roman" w:cs="Times New Roman"/>
                <w:sz w:val="20"/>
                <w:szCs w:val="20"/>
                <w:color w:val="000000"/>
              </w:rPr>
              <w:t>四川银行泸州分行</w:t>
            </w:r>
          </w:p>
        </w:tc>
        <w:tc>
          <w:tcPr>
            <w:tcW w:w="2310" w:type="dxa"/>
            <w:gridSpan w:val="2"/>
          </w:tcPr>
          <w:p>
            <w:pPr/>
            <w:r>
              <w:rPr>
                <w:lang w:val="zh-CN"/>
                <w:rFonts w:ascii="Times New Roman" w:hAnsi="Times New Roman" w:cs="Times New Roman"/>
                <w:sz w:val="20"/>
                <w:szCs w:val="20"/>
                <w:color w:val="000000"/>
              </w:rPr>
              <w:t>四川美途智旅文化旅游发展有限公司</w:t>
            </w:r>
          </w:p>
        </w:tc>
        <w:tc>
          <w:tcPr>
            <w:tcW w:w="2310" w:type="dxa"/>
            <w:gridSpan w:val="3"/>
          </w:tcPr>
          <w:p>
            <w:pPr/>
            <w:r>
              <w:rPr>
                <w:lang w:val="zh-CN"/>
                <w:rFonts w:ascii="Times New Roman" w:hAnsi="Times New Roman" w:cs="Times New Roman"/>
                <w:sz w:val="20"/>
                <w:szCs w:val="20"/>
                <w:color w:val="000000"/>
              </w:rPr>
              <w:t>71220100046768664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泸州-北京(飞机)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泸州云龙机场乘机前往北京大兴机场，抵达后乘坐大巴前往酒店，办理入住休息！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早餐：；午餐：；晚餐：；住宿：燕郊</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天安门广场-毛主席纪念堂-故宫博物院-什刹海-天坛(大巴)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餐:早中晚住:燕郊游览【天安门广场】、【毛主席纪念堂】瞻仰毛主席遗容（政策关闭预约不上票则观外景）。外观【国家大剧院】、【人民大会堂】外景、广场中央矗立着【人民英雄纪念碑】广场西侧是【人民大会堂】，东侧面是【中国国家博物馆】，南侧是两座建于14世纪的古代城楼【正阳门】和【前门箭楼】，整个广场宏伟壮观、整齐对称、浑然一体、气势磅礴。游览【故宫博物院】故宫博物院又名紫禁城，是全世界最大的古代宫殿群，明、清两代曾有24位皇帝在此居住，仅房间就有9999间之多。让我们在此感受学习皇宫那些不为人知的奥秘，解析紫禁城的密码。细评紫禁城参考行程线路：【午门】是紫禁城南面的城门，也是这座皇城的正门,更是紫禁城四座城门中较大的一座。建于明永乐十八年，已有近600年的历史。【太和门】太和门前列铜狮一对，铜鼎四只，为明代铸造。太和门在明代是太和门在明代是“御门听政”之处，皇帝在此接受臣下的朝拜和上奏，颁发诏令，处理政事。【太和殿】如今有很多人认为太和殿平时是用于上朝的，其实不是，太和殿其实是用来举行重大典礼的场所，实际使用次数很少。【中和殿】明清两代中和殿的使用功能基本上相同，即皇帝到太和殿参加大型庆典前在此休息准备。皇帝在中和殿通常都先接受主持庆典的官员朝拜和奏事，再到太和殿参与庆典。【保和殿】清朝每年除夕、正月十五，皇帝赐宴外藩、王公及一二品大臣，场面十分壮观。赐额驸之父、有官职家属宴及每科殿试等均于保和殿举行。【乾清门】门内有一道白石栏杆的高台通道，直达乾清宫。当听政之日，门中设宝座辰时(早上7-9点)皇帝御门户、礼、兵、工、吏各部轮流奏事，然后由皇帝作出决策。【乾清宫】清朝康熙皇帝以前，这里沿袭明制，清朝顺治、康熙年间，乾清宫与政务关系相当密切，皇帝在这里读书学习、批阅奏章、召见官员、接见外国使节以及举行内廷典礼和家宴。自雍正皇帝移住养心殿以后，这里即作为皇帝召见廷臣、批阅奏章、处理日常政务、接见外藩属国陪臣和岁时受贺、举行宴筵的重要场所。【坤宁宫+交泰殿】在古代皇后的地位跟皇帝相对皇帝是天，皇后就是地。皇帝是乾皇后是坤，皇后的寝宫取自道德经中的地得一以宁这一句，故名坤宁宫，同理天得一以清,皇帝寝名乾清宫所以坤宁宫与乾清宫分别为皇后与皇帝的寝宫。.【御花园】明代称为宫后苑，清代称御花园，是汉族园林建筑之精华。始建于明永乐十八年(1420年)，以后曾有增修，现仍保留初建时的基本格局。特别赠送【什刹海风景区】这里曾经是清朝王公贵族的后花园，有“银锭观山”、“柳岸风荷”等具有百年历史美誉的自然景观。步行游览最具特色的【老北京胡同】和南锣鼓巷。这里清代起就成为游乐消夏之所，为燕京胜景之一。主要代表有恭王府及花园、宋庆龄故居及醇王府、郭沫若纪念馆、钟鼓楼、德胜门箭楼、广化寺、汇通祠、会贤堂。【天坛公园】（含首道大门票）明、清两朝皇帝祭天祈求五谷丰收的场所，被列入联合国教科文组织的《世界文化遗产名录》始建于明永乐十八年（1420年），为明、清两代帝王祭祀皇天、祈五谷丰登之场所。***温馨提示***1.毛主席纪念堂每周一或国家接待、内部维修等政策原因会关闭，如关闭只能观景！进入毛主席纪念堂不得穿无袖上衣，不得穿拖鞋，不得携带大小包、照相机、水壶等入场参观，必须随身携带身份证。这天走路较多请穿舒适鞋子和轻便服装。2.由于天安门广场及故宫游览面积比较大，游览时间较长，本日午餐时间较迟，建议自备一些点心充饥。3.3-10月是北京旅游旺季，故宫和毛主席纪念堂限票，因为数量有限，我们尽量抢票，确实预约不上，改为外观。产生的门票现退或更换其他景点游览，费用多退少补！因门票无法预约产生的投诉，不再受理，请知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早餐：含；午餐：含；晚餐：含；住宿：燕郊</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升旗仪式-八达岭长城-奥林匹克公园(大巴)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观看庄严的【升旗仪式】（由于升旗仪式时间比较早，早餐会安排路早请客人谅解）。站在天安门城楼前，齐唱雄壮的国歌，观国旗护卫队雄姿，看鲜艳的五星红旗迎风飘扬。乘车前往【八达岭长城】（游览时间约2小时）八达岭长城是明代长城的精华，是最具代表性、保存最好的一段，史称天下九塞之一。如今作为新北京十六景之一，也被联合国评为“世界文化遗产”。登长城、做好汉，一览这条巨龙古老又霸气的雄姿。赠送品尝特色果脯，风味烤鸭（约60分钟）品尝地道北京特产，不属于购物店，请自愿理性消费）下午前往【奥林匹克公园】（游览时间约1小时）外观【冰丝带】国家速滑馆又称为“冰丝带”）是2022年北京冬奥会北京主赛区标志性场馆，拥有亚洲最大的全冰面设计，冰面面积达1.2万平方米。外观【鸟巢】因其奇特外观而得名，整体采用“曲线箱形结构”。许多建筑界专家都认为，“鸟巢”不仅为奥运会树立一座独特的历史性的标志性建筑，而且在世界建筑发展史上也具有开创性意义。外观【水立方】为奥运会修建的主游泳馆，是根据细胞排列形式和肥皂泡天然结构设计而成的它的膜结构已成为世界之最。***温馨提示***1.因八达岭长城距离较远，加上每天排队人数车次较多，游览长城当天的叫早时间和餐时间可能会比其它几天早，请做好早起准备，早餐为打包早，敬请谅解。2.长城阶梯较高，也比较陡峭，请您和家人注意安全。务必选择穿舒适便捷的运动鞋。3.长城为游客自由参观，导游不跟团讲解敬请理解4.升旗仪式需要提前预约，如无法预约上，旅行社不予补偿,或如遇特殊情况或政策性等原因，参观不了升旗仪式，我公司不做其它补偿，请谅解，也不接受因未约上票而产生的任何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早餐：含；午餐：含；晚餐：；住宿：燕郊</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颐和园-清华/北大外观-圆明园(大巴)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餐：早中住:燕郊【颐和园】深度游：颐和园因集中国园林之大观而驰名中外（游览时间不低于150分钟）它是我国现存规模最大、保护最完整的皇家园林，被誉为皇家园林博物馆。晚清时期曾作为慈禧太后的颐养之地。游览皇家园林欣赏碧波荡漾的昆明湖和“万寿无疆”的万寿山颐和园游览路线：1、东宫门——光绪皇帝提匾颐和园的正大门2、仁寿殿——大清皇帝在颐和园的办公区3、玉澜堂——天子监狱，光绪皇帝人生最后十年的住所4、宜芸馆——大清最后一位皇太后隆裕的住所5、永寿斋——大清最后一位大太监李莲英的伴驾住所6、乐寿堂——慈禧的行宫，观大清第一奇石“败家石”7、邀月门——亚洲最长画廊长廊的东起点8、知春亭——昆明湖东岸，纵眺全园美景最佳位置9、文昌阁——供奉文昌帝君，保一方文风昌盛D410、铜牛——铜牛腹背上篆字书体镌刻着乾隆皇帝的四言铭文11、廓如亭——重檐八脊攒尖圆宝顶，亭中共有42根柱子12、十七孔桥——东连廓如亭，西接南湖岛，长150米，堪称中国园林中最大的桥梁13、南湖岛——昆明湖西堤以东、万寿山以南的湖水之中，与万寿山遥相呼应14、佛香阁——远眺颐和园标准性建筑，大清皇室的家庙15、绣漪桥——颐和园水路入口，俗称罗锅桥途中参观【清华大学或北京大学】外景，门前拍照留念。清华和北大都是我国最著名的大学,校园都是清朝皇家园林，清华大学的校园是乾隆年间修建的熙春园，而北京大学校园则同为乾隆年间修建的春熙苑。游览万园之园【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早餐：含；午餐：含；晚餐：；住宿：燕郊</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周邓纪念馆-古文化街-意大利风情街(大巴)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2小时前往沿海开放城天津。天津北依燕山、南临渤海，是一座历史悠久、中国四大直辖市之一、风光秀丽的文化和旅游名城。首先游览【意大利风情旅游区】天津意式风情街原意大利租界，目前保存完整的欧洲建筑近200余栋。天津意式风情街以体现浓郁的意大利风情。街区中心喷水柱的圆形广场的名字就叫马可.波罗在意大利老租界里，还有梁启超饮冰室、曹禺故居、李叔同故居、袁世凯和冯国璋的府邸等。随后前往【古文化食品一条街】天津古文化食品街位于天津市南开区东北角东门外、海河西岸，系商业步行街，国家AAAAA级旅游景区。作为津门十景之一，天津古文化街一直坚持“中国味，天津味，文化味，古味”的经营特色。有地道美食:狗不理包子、耳朵眼炸糕、老翟药糖，张家水铺、天津麻花等，游客可自费品尝天津风味小吃“三绝“的狗不理子、耳朵眼糕和天津大麻花等众多天津小吃名吃、游客可自行购买天津特产食品。(特产食品不属于旅游商品购物店)随后乘车前往【周恩来邓颖超纪念馆】(参观约1小时)(若遇周一关闭则观外景)为全国爱国主义教育示范基地、全国廉政教育基地和国家一级博物馆。主展厅内有：周恩来生平展“人民总理周恩来”、邓颖超专题展“邓颖超—20世纪中国妇女运动的先驱”专机陈列厅陈列着苏联政府赠送给周恩来总理的伊尔—14型678号专机，为国家二级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早餐：含；午餐：含；晚餐：；住宿：燕郊</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北京-泸州(飞机)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早餐后自由活动，根据航班时间送机，乘坐飞机返回当地，愉快结束此次行程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泸州=北京往返经济舱机票；北京空调旅游大巴车。2、住宿：全程入住精选快捷酒店（备注：3-10月是北京的旅游旺季，不指定位置）3、用餐：5早5正，早餐为酒店打包早餐。正餐15元/正，10人一桌，8菜一汤，不吃不退费。4、门票：行程报价是60岁以上游客，60岁以下需要自理门票差价（不含景区内小门票、耳麦、接驳车、奥运小火车、索道、电瓶车、游船等项目）5、导服：当地优秀导游服务或景区讲解员。6、保险：包含旅行社责任险，旅游意外保险。7、儿童：只含餐费车位导服接送，不含门票，不占床位！8、退费：全程按旅行社优惠价格核算大小同价，优免无退费。9、报名时请提供准确的身份信息，如因未提供正确的身份证信息，导致机票名字或者号码出错，客人无法登机，机票无退费，如要求继续出行，须客人自行购买机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购物店： 序号购物店名称主营内容说明停留时间 1金肆维玉器玉器等90分钟 2润德珍珠、水晶水晶、珍珠等120分钟 3玉器折扣店各类玉器等120分钟备注1、因为环保，减少噪音污染，故宫要求导游不准使用扩音器讲解，为了方便客人能更听清楚导游对故宫的讲解，客人需自费租用故宫耳麦20元/人（这个不属于导游推荐费用）。 2、夏季是北京的旅游旺季，景区人多，天气炎热，室外温度比较高，为了方便游客游览景区，故宫区开通了到其他景点的摆渡车，如需乘坐需自理摆渡车30元/人（这个不属于导游推荐费用）。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行程中遇到的景点、博物馆、餐厅内设立的购物场所，均不属于旅行社指定购物点，客人遵从自愿参观理性购买原则。2、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3、在实际游览过程中我社可根据实际情况，在不减少游览景点和游览时间的前提下对景点的游览顺序作合理的调整。4、行程中赠游景点如遇景区特殊原因或人力不可抗拒因素导致无法参观，我社有权无偿取消赠游景点并通知游客。5、行程中如有因航班时间原因无法使用的正餐或门票的，由当地导游根据实际情况将未产生的费用现退给客人，客人签名确认。如果因客人自身原因造成的，其未产生的所有费用概不退还。此线路为特价团，不做任何门票优惠（如老人证、学生证、军官证等）一经报名确认，费用不退，敬请注意！6、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本行程往返航班7时间及进出港口以出票为准，我社将根据具体时间和进出港口调整行程，以我社计调最后的行程确认为准；我社有权根据具体航班调整景点游览的先后顺序，变更住宿地点（城市），保证不减少景点和游览时间。7、团队接待质量以客人意见单为准，如客人在当地无异议，返回后我社概不接受投诉；对于客人在行程中反应的问题或投诉，我社将会及时做出处理或补救。8、导游会在出发前一天联系客人，请客人保持手机畅通，注意短信通知。此团为散拼团，抵达接待标准报名须知北京/天津后，抵达时间前后2小时内的团友拼车接送，等候总时长不超过2小时，由司机送到酒店,入住酒店。9、线路在销售过程中因机票/火车票/销售活动等原因导致客人在不同时期报名出现价格差异的情况，客人一经报名确认，价格差额一律不予退还，团体机票开票后，不得改签、退票和换名；请知悉！！10、特殊人群参团警示：A、70周岁或以上，75周岁以下可以报名参团，需要出游人本人和直系亲属签署“老年人出游免责承诺书”并且必须有年轻健康的亲属陪同。B、患有心脏病.高血压.糖尿病.冠心病等，建议不参加本团，如强烈要求参团，请提前告知我社，并且必须有年轻健康的亲属陪同。C、癌症、癫痫/小儿麻痹症，及有听力视力障碍者，身体残疾行动不便者，有精神疾病无行为控制能力者及孕妇，恕不能参团，望请谅解。如游客隐瞒参团而发生事故我社不承担任何连带责任D、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国内旅游购物补充协议甲方：（旅游者）乙方：（旅行社）本着自愿原则，保障旅游者和旅游经营者的合法权益，经甲乙双方协商一致，就旅游行程单以外内容签订如下补充协议：为保障旅游者和旅游经营者的合法权益，本着自愿原则，根据《中华人民共和国旅游法》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因此在本次旅行过程中，本旅行社（乙方）应旅游者（甲方）要求并经双方协商一致，由乙方协助安排甲方旅游购物场所项目和另付费项目，具体约定如下：购物店：序号购物店名称主营内容说明停留时间1金肆维玉器玉器等90分钟2润德珍珠、水晶水晶、珍珠等120分钟3玉器折扣店各类玉器等120分钟三、购物约定：1.本人自愿购买当地的特色产品（或纪念品）及游览行程中未安排的当地特色旅游项目，为丰富旅游活动，本人要求旅行社在不影响其他旅游者游览的前提下，协助安排购物及另付费游览项目。此内容作为合同的附件，同《旅游合同》一样具有法律效力。2.甲方在当天行程过程中如要求离团不参加购物店，脱团费人民币1000元/人，并现付导游，同时签订离团安全协议书。3.购物系旅游者自愿行为，旅行社根据旅游者的意愿，经协商后按照上述购物场所进行安排，绝无强迫消费，旅游者自愿购买；4.上述购物场所也是当地人购物场所，价格可能存在价差（与其他商店相比或高或低），请旅游者自行甄选，旅行社不承担退差价的责任；5.旅游者购物时，请向商家仔细了解自己所要购买的商品的价格、质量、以及售后服务情况，自行决定、理性消费；6.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(1)本人清楚了解所选择的产品含有购物内容，本人在合理的情况下，不会干扰其他团友的购物行为。(2)甲方在旅游目的地应自觉遵守社会公共秩序和社会公德，尊重当地的风俗习惯、文化传统和宗教信仰，爱护旅游目的地旅游资源，遵守旅游文明行为规范，并主动配合随团领队及当地导游的合理安排。如行程中发生纠纷，甲方不得以拒绝登车，登船，登机等，入住酒店等行为拖延行程或者脱团，否则，除承担给组团旅行社造成的实际损失外，还要承担旅游费用20-30%的违约金(3)自由活动期间的声明：本人将在《旅游行程单》约定的自由活动时间内自行安排活动，乙方已充分告知了我在自由活动期间存在的风险和安全注意事项。本协议与旅行社所签订的《旅游合同》为不可分割的组成部分，具有同等法律效力，协议自双方签字或盖章之日起生效，至本次旅游结束甲方离开乙方安排的旅游交通工具时为止。我本人已详细阅读了本协议书全部材料，充分理解并清楚知晓此次旅游的全部相关信息，平等自愿按协议约定履行全部协议并确认：01、旅行社已就本次旅行的上述协议项目的相关权益及风险对我进行了全面的告知、提醒。经慎重考虑后，我自愿选择并参加上述协议项目，此协议的签订过程旅行社并无强迫。我承诺将按照导游提醒自愿参加上述项目理性消费，注意人身和财产安全。如因旅行社不能控制原因无法安排的，我对旅行社予以理解，双方互不追责。02、本人同意导游在不减少行程所含旅游景点数量的前提下，为优化旅游体验，可根据实际情况调整景点游览顺序。03、游客参与当地其他旅行社安排的自费项目，均视为旅游者个人行为，期间导致的人身安全或财产损失乙方不承担任何责任。04、我自愿同意此协议为旅游合同补充协议，认可此协议并同意做为《国内旅游合同》附件，即效力等同旅游合同。</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罗荣</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1132205</wp:posOffset>
                        </wp:positionH>
                        <wp:positionV relativeFrom="paragraph">
                          <wp:posOffset>41275</wp:posOffset>
                        </wp:positionV>
                        <wp:extent cx="1346835" cy="1377950"/>
                        <wp:effectExtent l="0" t="0" r="5715" b="12700"/>
                        <wp:wrapNone/>
                        <wp:docPr id="1" name="图片 1" descr="xlzmtly.huilvsof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lzmtly.huilvsoft.com"/>
                                <pic:cNvPicPr>
                                  <a:picLocks noChangeAspect="1"/>
                                </pic:cNvPicPr>
                              </pic:nvPicPr>
                              <pic:blipFill>
                                <a:blip r:embed="rId4"/>
                                <a:stretch>
                                  <a:fillRect/>
                                </a:stretch>
                              </pic:blipFill>
                              <pic:spPr>
                                <a:xfrm>
                                  <a:off x="0" y="0"/>
                                  <a:ext cx="1346835" cy="1377950"/>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陈艳梅</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2025</w:t>
                  </w:r>
                  <w:r>
                    <w:rPr>
                      <w:rFonts w:hint="eastAsia" w:asciiTheme="minorEastAsia" w:hAnsiTheme="minorEastAsia"/>
                    </w:rPr>
                    <w:t xml:space="preserve">年 </w:t>
                  </w:r>
                  <w:r>
                    <w:rPr>
                      <w:rFonts w:asciiTheme="minorEastAsia" w:hAnsiTheme="minorEastAsia"/>
                    </w:rPr>
                    <w:t>9</w:t>
                  </w:r>
                  <w:r>
                    <w:rPr>
                      <w:rFonts w:hint="eastAsia" w:asciiTheme="minorEastAsia" w:hAnsiTheme="minorEastAsia"/>
                    </w:rPr>
                    <w:t xml:space="preserve">月 </w:t>
                  </w:r>
                  <w:r>
                    <w:rPr>
                      <w:rFonts w:hint="eastAsia" w:asciiTheme="minorEastAsia" w:hAnsiTheme="minorEastAsia"/>
                    </w:rPr>
                    <w:t>3</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2025/9/3 12:40:00</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A2E6E95"/>
    <w:rsid w:val="3046043D"/>
    <w:rsid w:val="32A84207"/>
    <w:rsid w:val="35DA1AC1"/>
    <w:rsid w:val="375D4279"/>
    <w:rsid w:val="41974EF8"/>
    <w:rsid w:val="43742B71"/>
    <w:rsid w:val="45F16AB2"/>
    <w:rsid w:val="476044AE"/>
    <w:rsid w:val="4948176A"/>
    <w:rsid w:val="4C8621AA"/>
    <w:rsid w:val="4FAD00BA"/>
    <w:rsid w:val="53A13C46"/>
    <w:rsid w:val="541C1654"/>
    <w:rsid w:val="54ED4EB7"/>
    <w:rsid w:val="561E57A2"/>
    <w:rsid w:val="57EB4ACA"/>
    <w:rsid w:val="592A321A"/>
    <w:rsid w:val="595E7C5E"/>
    <w:rsid w:val="59C95DBF"/>
    <w:rsid w:val="5C463F25"/>
    <w:rsid w:val="5DEE1A86"/>
    <w:rsid w:val="5F695FF5"/>
    <w:rsid w:val="66087E72"/>
    <w:rsid w:val="682E30E6"/>
    <w:rsid w:val="68C03E75"/>
    <w:rsid w:val="69BD0D53"/>
    <w:rsid w:val="69F411FC"/>
    <w:rsid w:val="6C3B19B7"/>
    <w:rsid w:val="6D9147C2"/>
    <w:rsid w:val="74CE4D7A"/>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2025-04-01T03:57:15Z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A603A2A937FB4515A64D27D163054913_13</vt:lpwstr>
  </property>
  <property fmtid="{D5CDD505-2E9C-101B-9397-08002B2CF9AE}" pid="4" name="KSOTemplateDocerSaveRecord">
    <vt:lpwstr>eyJoZGlkIjoiOTg2ZWY2YmYyNjAxODEzODhkYjY2MmY1MTY4ZjYzOTYiLCJ1c2VySWQiOiIyMzMxMzk4MTQifQ==</vt:lpwstr>
  </property>
</Properties>
</file>