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攀枝花川航旅行社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秦磊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19950900079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王光志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13988857080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QJX17TR260525A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全景新疆双卧17日游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31</w:t>
            </w:r>
          </w:p>
        </w:tc>
        <w:tc>
          <w:tcPr>
            <w:tcW w:w="2310" w:type="dxa"/>
          </w:tcPr>
          <w:p>
            <w:pPr/>
            <w:r>
              <w:rPr>
                <w:lang w:val="zh-CN"/>
                <w:rFonts w:ascii="Times New Roman" w:hAnsi="Times New Roman" w:cs="Times New Roman"/>
                <w:sz w:val="20"/>
                <w:szCs w:val="20"/>
                <w:color w:val="000000"/>
              </w:rPr>
              <w:t>2960.00</w:t>
            </w:r>
          </w:p>
        </w:tc>
        <w:tc>
          <w:tcPr>
            <w:tcW w:w="2310" w:type="dxa"/>
          </w:tcPr>
          <w:p>
            <w:pPr/>
            <w:r>
              <w:rPr>
                <w:lang w:val="zh-CN"/>
                <w:rFonts w:ascii="Times New Roman" w:hAnsi="Times New Roman" w:cs="Times New Roman"/>
                <w:sz w:val="20"/>
                <w:szCs w:val="20"/>
                <w:color w:val="000000"/>
              </w:rPr>
              <w:t>91760.00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总金额：玖万壹仟柒佰陆拾元整</w:t>
            </w:r>
          </w:p>
        </w:tc>
        <w:tc>
          <w:tcPr>
            <w:tcW w:w="2310" w:type="dxa"/>
            <w:textDirection w:val="right"/>
            <w:gridSpan w:val="3"/>
          </w:tcPr>
          <w:p>
            <w:pPr/>
            <w:r>
              <w:rPr>
                <w:lang w:val="zh-CN"/>
                <w:rFonts w:ascii="Times New Roman" w:hAnsi="Times New Roman" w:cs="Times New Roman"/>
                <w:b/>
                <w:color w:val="FF0000"/>
              </w:rPr>
              <w:t>91760.00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攀枝花→乌鲁木齐(火车)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根据出团通知书上车次时间前往火车站乘车前往举世闻名的歌舞之乡、瓜果之乡、黄金玉石之邦新疆自治区，踏上举世闻名的丝绸之路第一站。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欣赏沿途风光(火车)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欣赏沿途风光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接站 —S21 沙漠公路-乌伦古湖-布尔津/冲乎尔(火车/大巴)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接站后，早餐，途经【S21沙漠公路】沿途拍摄的北疆沙漠风光，抵达【乌伦古湖】（游览时间约2小时），后入住酒店休息。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布尔津/冲乎尔-喀纳斯-布尔津/冲乎尔(大巴)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津早餐后，参观游览【喀纳斯湖风景区】（游览时间约3小时）后入住酒店。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布尔津/冲乎尔-禾木-五彩滩-乌尔禾(大巴)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早餐后，乘车前往【禾木】（游览时间约3小时），后乘车游览【五彩滩】（游览时间约1小时），后乘车入住酒店休息。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乌尔禾-天山天池-乌鲁木齐/昌吉(大巴)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早餐后，乘车前往【天山天池】（游览时间约2小时），后入住酒店。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乌鲁木齐/昌吉-坎儿井-火焰山-乌鲁木齐/昌吉(大巴)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走进【玉器展览大厅】，后游览【新疆长绒棉驼绒文化馆】，后前往【坎儿井】（游览时间约40分钟）【火焰山】（游览时间约40分钟）后前往【维吾尔家访】（赠送游览，游览时间约50分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乌鲁木齐/昌吉-独山子大峡谷-精河/博乐(大巴)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玉器展览大厅】或【国药文化展览馆】后前往【独山子大峡谷】（已含门票，游览约1小时）【独库“零公里”】起点石碑就坐落于博物馆前的广场上，后游览全国唯一的一座军垦博物馆【新疆兵团军垦博物馆】（赠送景点，每周一闭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精河/博乐-赛里木湖-果子沟-黄衣草基地-新源/那拉提(大巴)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早餐后，乘车前往高原明珠—【赛里木湖】（游览时间约2小时），后乘车前往【薰衣草庄园】（此景点为花期赠送景点，不去不退费，游览时间约40分钟）后前往博乐或者精河入住酒店。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早餐：含；午餐：含；晚餐：含；住宿：新源/那拉提</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新源/那拉提—那拉提-独库公路-和静(大巴)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那拉提乘景区区间车进入有着欧亚四大草原之一的—【那拉提空中草原】（游览时间约2小时），后换乘7座以下小车前往中国最美公路-独库公路（独库中段体验）体验独库之美（费用300元/人自愿自理，预计6月开放，其他时间均无法安排），下午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和静-库车王府-库车大馔城-库车(大巴)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早餐后，库车游览【库车大馕城】（游览时间约1小时）后前往【库车王府】（游览时间约1小时）晚餐后入住酒店。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库车-它乾城-359 旅-温宿大峡谷-阿克苏(大巴)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早餐后，前往【它乾城景区】（游览时间约40分钟）乘车前往【359旅纪念馆】（周一闭馆，赠送项目费用不退不更换，游览时间约30分钟）乘车前往【温宿托木尔大峡谷】（游览时间约1小时），后入住酒店休息！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阿克苏-巴楚红海-喀什古城-艾提尕尔-喀什/阿图什(大巴)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红沙漠景区】（游览时间约1小时）后乘车前往【巴楚红海】（游览时间约2小时），后乘车前往【喀什古城】古城有很多个入口，外观【艾提尕尔清真寺广场】打卡网红【百年老茶馆】,后入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早餐：含；午餐：含；晚餐：含；住宿：喀什/阿图什</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喀什/阿图什-白沙湖-喀拉库勒湖-喀什(大巴)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早餐后，办理边防通行证，后沿中巴公路车览【帕米尔高原】，沿途游览【白沙湖】（游览时间约30分钟），环绕中的【喀拉库勒湖】（游览时间约60分钟）（海拔3700米），后入住酒店。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喀什--成都(大巴/火车)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早餐后，前往火车站，乘坐火车返回成都！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火车上观光(火车)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火车上观赏沿途风光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成都—攀枝花(火车)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抵达成都，成都换乘动车回到攀枝花，结束愉快的南北疆之旅！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攀枝花—乌鲁木齐、喀什—成都硬卧火车票（旺季火车票紧张，火车票为实名制随机出票，不保证车次、位及车厢，则不作为投诉理由）、成都到攀枝花动车。2.用车：当地2+1豪华空调旅游车，保证每人一正座（根据具体人数安排相应的车辆）3.门票：首道景点门票及观光车（门票已按旅行社打包优惠价核算，任何证件无优惠退费）4.住宿：2晚舒适性酒店+9晚3钻酒店+1晚4钻酒店/客栈，新疆经济落后，住宿条件有限，请提前做好心理准备5.用餐：全程含12早24正餐，正餐餐标30元/人，十人一桌，不足十人菜品将根据实际人数酌情安排用餐，维持餐标不变。其中包括6个风味餐（九碗三行子、香妃宴、大盘鸡、  手抓饭、烤肉、烤全羊） ，新疆经济落后，团队餐也较简单，请提前做好心理准备，导游根据实际情况安排团餐，如有些景区参观时间紧张来不及安排就调整用餐顺序或两餐合二为一，酒店赠送早餐（或打包早），不用不退。6.导游：当地中文导游服务7.购物：全程3个购物店（景区或酒店必经购物场所，不属旅行社安排、不保证售后服务、购买请慎重）购物详见旅游者自行安排活动期间告知书。游览过程中，如客人需要体验景区（景点）内娱乐或其它服务项目，请游客自行选择购买，具体收费标准请见景区内价格公示牌。8.儿童：儿童1.2米以下价格，只含当地车位费+导游服务费+正餐半餐，若产生其他费用自理。9.老人：新疆地处最西北， 山区海拔高、天气干燥炎热，景区车程长，路途颠簸；凡患有严重心脏病、高血压、糖尿病、胰腺炎、冠心病、癌症等疾病或已经年满 70 周岁以上的游客建议不要报名参团，若年满 70岁参团，必须由家人及子女在了解行程后，确保参团者身体健康，同意参加旅行团，并且旅游者本身与旅行社签署《健康调查问卷》或《免责书》方能签订合同，如有隐瞒一切责任及费用由游客自理！谢绝75 岁以上游客参团！10.保险：旅行社责任保险，赠送旅游意外险（具体保额以实际保单为准） 。旅行社赠送一份旅游意外保险如发生意外事件，该意外保险理赔的金额优先抵扣旅行社可能承担的赔偿金额。 保险说明：旅游期间出险发生理赔以保险公司相关条款为准:非旅行社原因造成的各类意外伤害，产生费用由游客先行垫付，事后按照《旅游保险条例》进行赔付。 因客人自身疾病产生的费用请自理，不属保险责任范畴。注:旅行社已投保责任险，已为客人购买旅游意外险，70 周岁以上保额减半，80 周岁以上不承保(因自身疾病引起的费用自理;意外事故具体赔付责任、赔付标准、理赔由保险公司负责解释和履行)。11.赠送：行程中赠送项目不去费用不退。费用不含1.因旅游者违约、 自身过错、 自身疾病导致的人身财产损失而额外支付的费用；2.酒店押金和单间差或加床费用；报价是按照两人入住一间房计算的价格，若一人单住一间需补单房差。3.小交通及景区娱乐项目：景区内除首道大区间车之外的区间车或电瓶车、以及景区的娱乐项目。4. 自由活动期间的餐食费和交通费；5.因交通延误、取消等意外事件或战争、罢工、 自然灾害等不可抗拒力导致的额外费用；6.“旅游费用包含” 内容以外的所有费用、及行程中未提到的费用。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7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8、【重要提示：关于限制消费人员参团的特别说明】尊敬的旅客：为确保您的旅程顺利，特此提醒：根据中国相关法律法规及航空、铁路、酒店等部门的规定，被人民法院采取“限制消费措施”的人员（即俗称的“失信被执行人”），在消费行为上将受到严格限制。若您或您订单中的同行人员属于上述情况，可能会在出行过程中遇到问题，从而导致无法登机、无法乘坐高铁、无法入住已预订酒店等严重后果，相关损失需自行承担。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-63322087，再次感谢您的大力支持与合作！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秦磊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王光志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2026/5/19 17:03:43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