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旅游指南针团队/散客确认书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携程万事通开远景山路门市部</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李江燕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13987383985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董华贵</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18087762550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ADM06CR251011A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爱达魔都上海-济州-福冈-上海6天5晚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6599.00</w:t>
            </w:r>
          </w:p>
        </w:tc>
        <w:tc>
          <w:tcPr>
            <w:tcW w:w="2310" w:type="dxa"/>
          </w:tcPr>
          <w:p>
            <w:pPr/>
            <w:r>
              <w:rPr>
                <w:lang w:val="zh-CN"/>
                <w:rFonts w:ascii="Times New Roman" w:hAnsi="Times New Roman" w:cs="Times New Roman"/>
                <w:sz w:val="20"/>
                <w:szCs w:val="20"/>
                <w:color w:val="000000"/>
              </w:rPr>
              <w:t>26396.00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港务费</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950.00</w:t>
            </w:r>
          </w:p>
        </w:tc>
        <w:tc>
          <w:tcPr>
            <w:tcW w:w="2310" w:type="dxa"/>
          </w:tcPr>
          <w:p>
            <w:pPr/>
            <w:r>
              <w:rPr>
                <w:lang w:val="zh-CN"/>
                <w:rFonts w:ascii="Times New Roman" w:hAnsi="Times New Roman" w:cs="Times New Roman"/>
                <w:sz w:val="20"/>
                <w:szCs w:val="20"/>
                <w:color w:val="000000"/>
              </w:rPr>
              <w:t>3800.00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营销费用</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-1000.00</w:t>
            </w:r>
          </w:p>
        </w:tc>
        <w:tc>
          <w:tcPr>
            <w:tcW w:w="2310" w:type="dxa"/>
          </w:tcPr>
          <w:p>
            <w:pPr/>
            <w:r>
              <w:rPr>
                <w:lang w:val="zh-CN"/>
                <w:rFonts w:ascii="Times New Roman" w:hAnsi="Times New Roman" w:cs="Times New Roman"/>
                <w:sz w:val="20"/>
                <w:szCs w:val="20"/>
                <w:color w:val="000000"/>
              </w:rPr>
              <w:t>-4000.00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总金额：贰万陆仟壹佰玖拾陆元整</w:t>
            </w:r>
          </w:p>
        </w:tc>
        <w:tc>
          <w:tcPr>
            <w:tcW w:w="2310" w:type="dxa"/>
            <w:textDirection w:val="right"/>
            <w:gridSpan w:val="3"/>
          </w:tcPr>
          <w:p>
            <w:pPr/>
            <w:r>
              <w:rPr>
                <w:lang w:val="zh-CN"/>
                <w:rFonts w:ascii="Times New Roman" w:hAnsi="Times New Roman" w:cs="Times New Roman"/>
                <w:b/>
                <w:color w:val="FF0000"/>
              </w:rPr>
              <w:t>26196.00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中国银行东风支行</w:t>
            </w:r>
          </w:p>
        </w:tc>
        <w:tc>
          <w:tcPr>
            <w:tcW w:w="2310" w:type="dxa"/>
            <w:gridSpan w:val="2"/>
          </w:tcPr>
          <w:p>
            <w:pPr/>
            <w:r>
              <w:rPr>
                <w:lang w:val="zh-CN"/>
                <w:rFonts w:ascii="Times New Roman" w:hAnsi="Times New Roman" w:cs="Times New Roman"/>
                <w:sz w:val="20"/>
                <w:szCs w:val="20"/>
                <w:color w:val="000000"/>
              </w:rPr>
              <w:t>云南省省国际旅行社（集团）有限公司</w:t>
            </w:r>
          </w:p>
        </w:tc>
        <w:tc>
          <w:tcPr>
            <w:tcW w:w="2310" w:type="dxa"/>
            <w:gridSpan w:val="3"/>
          </w:tcPr>
          <w:p>
            <w:pPr/>
            <w:r>
              <w:rPr>
                <w:lang w:val="zh-CN"/>
                <w:rFonts w:ascii="Times New Roman" w:hAnsi="Times New Roman" w:cs="Times New Roman"/>
                <w:sz w:val="20"/>
                <w:szCs w:val="20"/>
                <w:color w:val="000000"/>
              </w:rPr>
              <w:t>137237571586</w:t>
            </w:r>
          </w:p>
        </w:tc>
      </w:tr>
      <w:tr>
        <w:tc>
          <w:tcPr>
            <w:tcW w:w="2310" w:type="dxa"/>
            <w:gridSpan w:val="3"/>
          </w:tcPr>
          <w:p>
            <w:pPr/>
            <w:r>
              <w:rPr>
                <w:lang w:val="zh-CN"/>
                <w:rFonts w:ascii="Times New Roman" w:hAnsi="Times New Roman" w:cs="Times New Roman"/>
                <w:sz w:val="20"/>
                <w:szCs w:val="20"/>
                <w:color w:val="000000"/>
              </w:rPr>
              <w:t>中国银行昆明市东郊支行</w:t>
            </w:r>
          </w:p>
        </w:tc>
        <w:tc>
          <w:tcPr>
            <w:tcW w:w="2310" w:type="dxa"/>
            <w:gridSpan w:val="2"/>
          </w:tcPr>
          <w:p>
            <w:pPr/>
            <w:r>
              <w:rPr>
                <w:lang w:val="zh-CN"/>
                <w:rFonts w:ascii="Times New Roman" w:hAnsi="Times New Roman" w:cs="Times New Roman"/>
                <w:sz w:val="20"/>
                <w:szCs w:val="20"/>
                <w:color w:val="000000"/>
              </w:rPr>
              <w:t>黄海英</w:t>
            </w:r>
          </w:p>
        </w:tc>
        <w:tc>
          <w:tcPr>
            <w:tcW w:w="2310" w:type="dxa"/>
            <w:gridSpan w:val="3"/>
          </w:tcPr>
          <w:p>
            <w:pPr/>
            <w:r>
              <w:rPr>
                <w:lang w:val="zh-CN"/>
                <w:rFonts w:ascii="Times New Roman" w:hAnsi="Times New Roman" w:cs="Times New Roman"/>
                <w:sz w:val="20"/>
                <w:szCs w:val="20"/>
                <w:color w:val="000000"/>
              </w:rPr>
              <w:t>6217852700030801672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2025/10/11</w:t>
            </w:r>
          </w:p>
        </w:tc>
        <w:tc>
          <w:tcPr>
            <w:tcW w:w="2310" w:type="dxa"/>
            <w:gridSpan w:val="7"/>
          </w:tcPr>
          <w:p>
            <w:pPr/>
            <w:r>
              <w:rPr>
                <w:lang w:val="zh-CN"/>
                <w:rFonts w:ascii="Times New Roman" w:hAnsi="Times New Roman" w:cs="Times New Roman"/>
                <w:b/>
                <w:color w:val="000000"/>
              </w:rPr>
              <w:t>昆明乘机→魔都上海(飞机)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昆明乘机→魔都上海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早餐：自理；午餐：自理；晚餐：自理；住宿：上海酒店</w:t>
            </w:r>
          </w:p>
        </w:tc>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上海吴淞口国际邮轮港 (预计 16:30 起航，登船时间约启航前 4 小时)(邮轮上)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上海吴淞口国际邮轮港(13:30登船 预计16:30起航，登船时间约启航前4小时)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早餐：酒店早餐；午餐：邮轮上；晚餐：邮轮上；住宿：邮轮上</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济州岛 (预计 15:00 靠港 21:00 离港)(邮轮上)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龙头岩/独立岩/药泉寺/汉拿树木林(四选一景点：*由于天气或靠港时间等因素影响当天导游将从以上景点中选择一个景点观光)→本土化妆品店或保健品店→综合国际免税店重要说明：岸上行程会根据天气情况、实际离靠港时间等不可抗力因素调整行程，请悉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早餐：邮轮上；午餐：邮轮上；晚餐：无；住宿：邮轮上</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福冈 (预计 12:00 靠港 21:00 离港)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太宰府天满宫/宗像大社/栉田神社/大濠公园/油山牧场/百道海滨/博多港塔/福冈塔(车览)/福冈城际/舞鹤公园(十选二景点：*由于天气或靠港时间等因素影响当天导游将从以上景点中选择两个景点观光】→药妆店→综合免税店）重要说明：岸上行程会根据天气情况、实际离靠港时间等不可抗力因素调整行程，请悉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早餐：邮轮上；午餐：邮轮上；晚餐：无；住宿：邮轮上</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海上巡游(邮轮上)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海上巡游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早餐：邮轮上；午餐：邮轮上；晚餐：邮轮上；住宿：邮轮上</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上海吴淞口国际邮轮港 离船 (预计 07:30 靠港)</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抵达港口，办理离船手续。赴南京路步行街（中餐/晚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餐自理），根据航班时间乘机飞昆明。</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早餐：游轮上；午餐：自理；晚餐：自理；住宿：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费用包含1.昆明上海往返机票；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2.上海一晚准三商务酒店住宿；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3.船票：所选指定房型住宿；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4.用餐：邮轮上指定免费餐厅用餐；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5.保险：旅行社责任险；（自愿购买旅游意外险）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6.交通费：邮轮码头、上海段机场接送；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7.娱乐：邮轮上免费互动派对、剧院表演、船上免费设施（游泳池、按摩池、健身设施等）；费用不包含1.港务费950元/人，随团费收取2.日本观光税：1000日元/人，约50人民币（价格以船上公布为准，邮轮上支付）3.邮轮服务费：内舱/海景/阳台房130港币/人每晚（需在邮轮上支付）4.单房差：上海一晚单房差150元/人；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5.其他：个人消费以及价格包含中未注明项目；</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现确认以上位置给贵公司，请收到确认件后签字盖章并回传确认件至我社，8小时之内将定金600元/人汇到我社指定账号，逾期位置将无法保留，我社以收到有效定金为准确认位置！2、客户确认订单回执后，已定计划不得取消，若客户单方取消，将收取全额款，并承担我司在团队操作中的其他费用损失。3、定金交付后，无论贵公司收客与否，定金将被100%收取，不得退回，如果客人不能出行，贵公司还需要承担掉位产生的全部损失。4、剩余团费于出发前2天，一次付清。5、出团通知书，需要团款交付清楚之后我社才可发出。6游客身份证资料出团前7日交给我公司，因贵司提供名单错误或逾期产生损失由组团社负责。7、如果标准间不够的情况下，以实际酒店分房入住为准，团队旅游原则安排同性2人一间房，如出现单男单女，请团员务必配合轮流拆夫妻；遇单数团，多出一人以加床为准，如不配合拼房或无法加床请补单房差。2、请您将以上确认的团款金额，汇入我公司下列指定账户，其他任何私人账户均不属于我社指定账户，因汇到确认件之外的账户，产生的款项不到位，我方不承担任何责任且有权拒绝操作；若因贵社原因未按协议规定内容执行,出团前团款未收清，影响客人出团，由贵公司承担全部责任，我社将保留对该部分位置另行安排处理，且不再通知贵公司。备注：汇款后请将电汇单传真至0871-65337623，再次感谢您的大力支持与合作！</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李江燕</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董华贵</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28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2025/9/28 13:16:58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