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美踪国旅团队/散客确认书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中旅总社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安丽莎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15724882834</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RAINBOW VACATION</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陈捷</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19895895099</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TAS06GJ230524A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乌兹别克斯坦6日游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2023-05-24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2023-05-29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vAlign w:val="center"/>
          </w:tcPr>
          <w:p>
            <w:pPr/>
            <w:r>
              <w:rPr>
                <w:lang w:val="zh-CN"/>
                <w:rFonts w:ascii="Times New Roman" w:hAnsi="Times New Roman" w:cs="Times New Roman"/>
                <w:sz w:val="20"/>
                <w:szCs w:val="20"/>
                <w:color w:val="000000"/>
              </w:rPr>
              <w:t>1、张燕</w:t>
            </w:r>
          </w:p>
        </w:tc>
        <w:tc>
          <w:tcPr>
            <w:tcW w:w="2310" w:type="dxa"/>
            <w:vAlign w:val="center"/>
          </w:tcPr>
          <w:p>
            <w:pPr/>
            <w:r>
              <w:rPr>
                <w:lang w:val="zh-CN"/>
                <w:rFonts w:ascii="Times New Roman" w:hAnsi="Times New Roman" w:cs="Times New Roman"/>
                <w:sz w:val="20"/>
                <w:szCs w:val="20"/>
                <w:color w:val="000000"/>
              </w:rPr>
              <w:t>ZHANG/YAN</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1944-07-19</w:t>
            </w:r>
          </w:p>
        </w:tc>
        <w:tc>
          <w:tcPr>
            <w:tcW w:w="2310" w:type="dxa"/>
            <w:vAlign w:val="center"/>
          </w:tcPr>
          <w:p>
            <w:pPr/>
            <w:r>
              <w:rPr>
                <w:lang w:val="zh-CN"/>
                <w:rFonts w:ascii="Times New Roman" w:hAnsi="Times New Roman" w:cs="Times New Roman"/>
                <w:sz w:val="20"/>
                <w:szCs w:val="20"/>
                <w:color w:val="000000"/>
              </w:rPr>
              <w:t>EB3206182</w:t>
            </w:r>
          </w:p>
        </w:tc>
        <w:tc>
          <w:tcPr>
            <w:tcW w:w="2310" w:type="dxa"/>
            <w:vAlign w:val="center"/>
          </w:tcPr>
          <w:p>
            <w:pPr/>
            <w:r>
              <w:rPr>
                <w:lang w:val="zh-CN"/>
                <w:rFonts w:ascii="Times New Roman" w:hAnsi="Times New Roman" w:cs="Times New Roman"/>
                <w:sz w:val="20"/>
                <w:szCs w:val="20"/>
                <w:color w:val="000000"/>
              </w:rPr>
              <w:t>江苏</w:t>
            </w:r>
          </w:p>
        </w:tc>
        <w:tc>
          <w:tcPr>
            <w:tcW w:w="2310" w:type="dxa"/>
            <w:vAlign w:val="center"/>
          </w:tcPr>
          <w:p>
            <w:pPr/>
            <w:r>
              <w:rPr>
                <w:lang w:val="zh-CN"/>
                <w:rFonts w:ascii="Times New Roman" w:hAnsi="Times New Roman" w:cs="Times New Roman"/>
                <w:sz w:val="20"/>
                <w:szCs w:val="20"/>
                <w:color w:val="000000"/>
              </w:rPr>
              <w:t>2017-09-21</w:t>
            </w:r>
          </w:p>
        </w:tc>
        <w:tc>
          <w:tcPr>
            <w:tcW w:w="2310" w:type="dxa"/>
            <w:vAlign w:val="center"/>
          </w:tcPr>
          <w:p>
            <w:pPr/>
            <w:r>
              <w:rPr>
                <w:lang w:val="zh-CN"/>
                <w:rFonts w:ascii="Times New Roman" w:hAnsi="Times New Roman" w:cs="Times New Roman"/>
                <w:sz w:val="20"/>
                <w:szCs w:val="20"/>
                <w:color w:val="000000"/>
              </w:rPr>
              <w:t>2027-09-20</w:t>
            </w:r>
          </w:p>
        </w:tc>
      </w:tr>
      <w:tr>
        <w:tc>
          <w:tcPr>
            <w:tcW w:w="2310" w:type="dxa"/>
            <w:vAlign w:val="center"/>
          </w:tcPr>
          <w:p>
            <w:pPr/>
            <w:r>
              <w:rPr>
                <w:lang w:val="zh-CN"/>
                <w:rFonts w:ascii="Times New Roman" w:hAnsi="Times New Roman" w:cs="Times New Roman"/>
                <w:sz w:val="20"/>
                <w:szCs w:val="20"/>
                <w:color w:val="000000"/>
              </w:rPr>
              <w:t>2、郭萍</w:t>
            </w:r>
          </w:p>
        </w:tc>
        <w:tc>
          <w:tcPr>
            <w:tcW w:w="2310" w:type="dxa"/>
            <w:vAlign w:val="center"/>
          </w:tcPr>
          <w:p>
            <w:pPr/>
            <w:r>
              <w:rPr>
                <w:lang w:val="zh-CN"/>
                <w:rFonts w:ascii="Times New Roman" w:hAnsi="Times New Roman" w:cs="Times New Roman"/>
                <w:sz w:val="20"/>
                <w:szCs w:val="20"/>
                <w:color w:val="000000"/>
              </w:rPr>
              <w:t>GUO/PING</w:t>
            </w:r>
          </w:p>
        </w:tc>
        <w:tc>
          <w:tcPr>
            <w:tcW w:w="2310" w:type="dxa"/>
            <w:vAlign w:val="center"/>
          </w:tcPr>
          <w:p>
            <w:pPr/>
            <w:r>
              <w:rPr>
                <w:lang w:val="zh-CN"/>
                <w:rFonts w:ascii="Times New Roman" w:hAnsi="Times New Roman" w:cs="Times New Roman"/>
                <w:sz w:val="20"/>
                <w:szCs w:val="20"/>
                <w:color w:val="000000"/>
              </w:rPr>
              <w:t>女</w:t>
            </w:r>
          </w:p>
        </w:tc>
        <w:tc>
          <w:tcPr>
            <w:tcW w:w="2310" w:type="dxa"/>
            <w:vAlign w:val="center"/>
          </w:tcPr>
          <w:p>
            <w:pPr/>
            <w:r>
              <w:rPr>
                <w:lang w:val="zh-CN"/>
                <w:rFonts w:ascii="Times New Roman" w:hAnsi="Times New Roman" w:cs="Times New Roman"/>
                <w:sz w:val="20"/>
                <w:szCs w:val="20"/>
                <w:color w:val="000000"/>
              </w:rPr>
              <w:t>1974-04-04</w:t>
            </w:r>
          </w:p>
        </w:tc>
        <w:tc>
          <w:tcPr>
            <w:tcW w:w="2310" w:type="dxa"/>
            <w:vAlign w:val="center"/>
          </w:tcPr>
          <w:p>
            <w:pPr/>
            <w:r>
              <w:rPr>
                <w:lang w:val="zh-CN"/>
                <w:rFonts w:ascii="Times New Roman" w:hAnsi="Times New Roman" w:cs="Times New Roman"/>
                <w:sz w:val="20"/>
                <w:szCs w:val="20"/>
                <w:color w:val="000000"/>
              </w:rPr>
              <w:t>EK3401442</w:t>
            </w:r>
          </w:p>
        </w:tc>
        <w:tc>
          <w:tcPr>
            <w:tcW w:w="2310" w:type="dxa"/>
            <w:vAlign w:val="center"/>
          </w:tcPr>
          <w:p>
            <w:pPr/>
            <w:r>
              <w:rPr>
                <w:lang w:val="zh-CN"/>
                <w:rFonts w:ascii="Times New Roman" w:hAnsi="Times New Roman" w:cs="Times New Roman"/>
                <w:sz w:val="20"/>
                <w:szCs w:val="20"/>
                <w:color w:val="000000"/>
              </w:rPr>
              <w:t>四川</w:t>
            </w:r>
          </w:p>
        </w:tc>
        <w:tc>
          <w:tcPr>
            <w:tcW w:w="2310" w:type="dxa"/>
            <w:vAlign w:val="center"/>
          </w:tcPr>
          <w:p>
            <w:pPr/>
            <w:r>
              <w:rPr>
                <w:lang w:val="zh-CN"/>
                <w:rFonts w:ascii="Times New Roman" w:hAnsi="Times New Roman" w:cs="Times New Roman"/>
                <w:sz w:val="20"/>
                <w:szCs w:val="20"/>
                <w:color w:val="000000"/>
              </w:rPr>
              <w:t>2023-05-10</w:t>
            </w:r>
          </w:p>
        </w:tc>
        <w:tc>
          <w:tcPr>
            <w:tcW w:w="2310" w:type="dxa"/>
            <w:vAlign w:val="center"/>
          </w:tcPr>
          <w:p>
            <w:pPr/>
            <w:r>
              <w:rPr>
                <w:lang w:val="zh-CN"/>
                <w:rFonts w:ascii="Times New Roman" w:hAnsi="Times New Roman" w:cs="Times New Roman"/>
                <w:sz w:val="20"/>
                <w:szCs w:val="20"/>
                <w:color w:val="000000"/>
              </w:rPr>
              <w:t>2033-05-09</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8099.00</w:t>
            </w:r>
          </w:p>
        </w:tc>
        <w:tc>
          <w:tcPr>
            <w:tcW w:w="2310" w:type="dxa"/>
          </w:tcPr>
          <w:p>
            <w:pPr/>
            <w:r>
              <w:rPr>
                <w:lang w:val="zh-CN"/>
                <w:rFonts w:ascii="Times New Roman" w:hAnsi="Times New Roman" w:cs="Times New Roman"/>
                <w:sz w:val="20"/>
                <w:szCs w:val="20"/>
                <w:color w:val="000000"/>
              </w:rPr>
              <w:t>16198.00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救援费</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240.00</w:t>
            </w:r>
          </w:p>
        </w:tc>
        <w:tc>
          <w:tcPr>
            <w:tcW w:w="2310" w:type="dxa"/>
          </w:tcPr>
          <w:p>
            <w:pPr/>
            <w:r>
              <w:rPr>
                <w:lang w:val="zh-CN"/>
                <w:rFonts w:ascii="Times New Roman" w:hAnsi="Times New Roman" w:cs="Times New Roman"/>
                <w:sz w:val="20"/>
                <w:szCs w:val="20"/>
                <w:color w:val="000000"/>
              </w:rPr>
              <w:t>240.00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总金额：壹万陆仟肆佰叁拾捌元整</w:t>
            </w:r>
          </w:p>
        </w:tc>
        <w:tc>
          <w:tcPr>
            <w:tcW w:w="2310" w:type="dxa"/>
            <w:textDirection w:val="right"/>
            <w:gridSpan w:val="3"/>
          </w:tcPr>
          <w:p>
            <w:pPr/>
            <w:r>
              <w:rPr>
                <w:lang w:val="zh-CN"/>
                <w:rFonts w:ascii="Times New Roman" w:hAnsi="Times New Roman" w:cs="Times New Roman"/>
                <w:b/>
                <w:color w:val="FF0000"/>
              </w:rPr>
              <w:t>16438.00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中国建设银行股份有限公司成都高新支行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51050140613700000979</w:t>
            </w:r>
          </w:p>
        </w:tc>
      </w:tr>
      <w:tr>
        <w:tc>
          <w:tcPr>
            <w:tcW w:w="2310" w:type="dxa"/>
            <w:gridSpan w:val="3"/>
          </w:tcPr>
          <w:p>
            <w:pPr/>
            <w:r>
              <w:rPr>
                <w:lang w:val="zh-CN"/>
                <w:rFonts w:ascii="Times New Roman" w:hAnsi="Times New Roman" w:cs="Times New Roman"/>
                <w:sz w:val="20"/>
                <w:szCs w:val="20"/>
                <w:color w:val="000000"/>
              </w:rPr>
              <w:t>中国工商银行股份有限公司成都锦东路支行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4402072319100062422</w:t>
            </w:r>
          </w:p>
        </w:tc>
      </w:tr>
      <w:tr>
        <w:tc>
          <w:tcPr>
            <w:tcW w:w="2310" w:type="dxa"/>
            <w:gridSpan w:val="3"/>
          </w:tcPr>
          <w:p>
            <w:pPr/>
            <w:r>
              <w:rPr>
                <w:lang w:val="zh-CN"/>
                <w:rFonts w:ascii="Times New Roman" w:hAnsi="Times New Roman" w:cs="Times New Roman"/>
                <w:sz w:val="20"/>
                <w:szCs w:val="20"/>
                <w:color w:val="000000"/>
              </w:rPr>
              <w:t>中国光大银行成都冠城支行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39850188000151101</w:t>
            </w:r>
          </w:p>
        </w:tc>
      </w:tr>
      <w:tr>
        <w:tc>
          <w:tcPr>
            <w:tcW w:w="2310" w:type="dxa"/>
            <w:gridSpan w:val="3"/>
          </w:tcPr>
          <w:p>
            <w:pPr/>
            <w:r>
              <w:rPr>
                <w:lang w:val="zh-CN"/>
                <w:rFonts w:ascii="Times New Roman" w:hAnsi="Times New Roman" w:cs="Times New Roman"/>
                <w:sz w:val="20"/>
                <w:szCs w:val="20"/>
                <w:color w:val="000000"/>
              </w:rPr>
              <w:t>中国民生银行股份有限公司成都金牛支行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151030488</w:t>
            </w:r>
          </w:p>
        </w:tc>
      </w:tr>
      <w:tr>
        <w:tc>
          <w:tcPr>
            <w:tcW w:w="2310" w:type="dxa"/>
            <w:gridSpan w:val="3"/>
          </w:tcPr>
          <w:p>
            <w:pPr/>
            <w:r>
              <w:rPr>
                <w:lang w:val="zh-CN"/>
                <w:rFonts w:ascii="Times New Roman" w:hAnsi="Times New Roman" w:cs="Times New Roman"/>
                <w:sz w:val="20"/>
                <w:szCs w:val="20"/>
                <w:color w:val="000000"/>
              </w:rPr>
              <w:t>成都农村商业银行股份有限公司高新支行</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021205000120010033104</w:t>
            </w:r>
          </w:p>
        </w:tc>
      </w:tr>
      <w:tr>
        <w:tc>
          <w:tcPr>
            <w:tcW w:w="2310" w:type="dxa"/>
            <w:gridSpan w:val="3"/>
          </w:tcPr>
          <w:p>
            <w:pPr/>
            <w:r>
              <w:rPr>
                <w:lang w:val="zh-CN"/>
                <w:rFonts w:ascii="Times New Roman" w:hAnsi="Times New Roman" w:cs="Times New Roman"/>
                <w:sz w:val="20"/>
                <w:szCs w:val="20"/>
                <w:color w:val="000000"/>
              </w:rPr>
              <w:t>中国银行成都高新技术产业开发区支行营业部</w:t>
            </w:r>
          </w:p>
        </w:tc>
        <w:tc>
          <w:tcPr>
            <w:tcW w:w="2310" w:type="dxa"/>
            <w:gridSpan w:val="2"/>
          </w:tcPr>
          <w:p>
            <w:pPr/>
            <w:r>
              <w:rPr>
                <w:lang w:val="zh-CN"/>
                <w:rFonts w:ascii="Times New Roman" w:hAnsi="Times New Roman" w:cs="Times New Roman"/>
                <w:sz w:val="20"/>
                <w:szCs w:val="20"/>
                <w:color w:val="000000"/>
              </w:rPr>
              <w:t>美踪国际旅行社有限公司</w:t>
            </w:r>
          </w:p>
        </w:tc>
        <w:tc>
          <w:tcPr>
            <w:tcW w:w="2310" w:type="dxa"/>
            <w:gridSpan w:val="3"/>
          </w:tcPr>
          <w:p>
            <w:pPr/>
            <w:r>
              <w:rPr>
                <w:lang w:val="zh-CN"/>
                <w:rFonts w:ascii="Times New Roman" w:hAnsi="Times New Roman" w:cs="Times New Roman"/>
                <w:sz w:val="20"/>
                <w:szCs w:val="20"/>
                <w:color w:val="000000"/>
              </w:rPr>
              <w:t>117229297624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2023/05/24</w:t>
            </w:r>
          </w:p>
        </w:tc>
        <w:tc>
          <w:tcPr>
            <w:tcW w:w="2310" w:type="dxa"/>
            <w:gridSpan w:val="7"/>
          </w:tcPr>
          <w:p>
            <w:pPr/>
            <w:r>
              <w:rPr>
                <w:lang w:val="zh-CN"/>
                <w:rFonts w:ascii="Times New Roman" w:hAnsi="Times New Roman" w:cs="Times New Roman"/>
                <w:b/>
                <w:color w:val="000000"/>
              </w:rPr>
              <w:t>成都-塔什干(飞机)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参考航班：成都-塔什干GJ8975 0840 1120(飞行约5小时)·在机场集合，乘坐国际航班飞往向往已久的神秘国度-丝路明珠乌兹别克斯坦国的首都塔什干抵达塔什干，热情的乌兹别克斯坦导游接站， 欢迎你来到这个友好的神秘国家。·午餐后参观国家历史博物馆-不仅带你了解这个国家历史的形成，还通过拜火教、佛教、伊斯兰教等文物展现发生在这里的文化碰撞。这里还展示着从铁尔梅兹(玄奘西行经过的怛密国)附近出土的被毁的佛教遗物。·游览:塔什干的马场。参观著名的汗血宝马，在这里将可以亲眼目睹汗血宝马的英姿风采。因为该品种的马特别烈，非专业人士不建议骑乘。“汗血宝马”本名阿哈尔捷金马，产于土库曼斯坦科佩特山脉和卡拉库姆沙漠间的阿哈尔绿洲，是经过三千多年培育而成的世界上最古老的马种之一。在中国历史文献中，“汗血宝马”被称为“天马”和“大宛马，对“汗血马”的最早记录是在2100年前的西汉。·前往东干村，这里住着东干族，是以前迁移到中亚的中国陕西及甘肃的回族后裔。东干族人认为自己与中国回族同源，称呼自己为回回），1942年苏联以“东干”一词为这支民族命名。主要信奉伊斯兰教，使用汉语，系中国汉语北方方言中的陕西方言与甘肃方言的混合，现代东干书面语言是以甘肃方言为基础方言，以甘肃方言的语音为标准语音。·当地特色晚餐， 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早餐：不含；午餐：含；晚餐：含；住宿：塔什干</w:t>
            </w:r>
          </w:p>
        </w:tc>
      </w:tr>
      <w:tr>
        <w:tc>
          <w:tcPr>
            <w:tcW w:w="2310" w:type="dxa"/>
            <w:vAlign w:val="center"/>
            <w:vMerge w:val="restart"/>
          </w:tcPr>
          <w:p>
            <w:pPr/>
            <w:r>
              <w:rPr>
                <w:lang w:val="zh-CN"/>
                <w:rFonts w:ascii="Times New Roman" w:hAnsi="Times New Roman" w:cs="Times New Roman"/>
                <w:sz w:val="20"/>
                <w:szCs w:val="20"/>
                <w:color w:val="000000"/>
              </w:rPr>
              <w:t>2023/05/25</w:t>
            </w:r>
          </w:p>
        </w:tc>
        <w:tc>
          <w:tcPr>
            <w:tcW w:w="2310" w:type="dxa"/>
            <w:gridSpan w:val="7"/>
          </w:tcPr>
          <w:p>
            <w:pPr/>
            <w:r>
              <w:rPr>
                <w:lang w:val="zh-CN"/>
                <w:rFonts w:ascii="Times New Roman" w:hAnsi="Times New Roman" w:cs="Times New Roman"/>
                <w:b/>
                <w:color w:val="000000"/>
              </w:rPr>
              <w:t>塔什干-撒马尔罕(汽车)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乘坐巴士前往撒马尔罕古城（童话故事《一千零一夜》的起源地），是中亚最古老的城市之一，丝绸之路上重要的枢纽城市，素有“中亚的雅典”之称，2500年以来，印度，波斯，突厥，中国等国家都曾在此留下足迹，同时留下的还有灿烂的精神财富。这使撒马尔罕成为公认的“世界文明的十字路口”，诸多古文明交融碰撞，经过历史更迭和岁月发酵，善于经商的粟特人把撒马尔罕建造成一座美轮美奂的都城。撒马尔罕意为“肥沃的土地”。中国古代称之为“康居”，耶律楚材说：“寻思干者西人云肥也，以地土肥饶故名之。”是乌兹别克斯坦第二大城市，中亚著名古城和旅游、文化中心，丝绸之路重要的枢纽城市，被称为“古丝绸之路明珠”。 2000年撒马尔罕古城整体被联合国教科文组织评定为世界文化遗产。·抵达撒马尔罕，用当地特色中餐。·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留下遗嘱：后人不可以移动他的棺椁，否则天下将要战火纷飞。很巧的是，前苏联考古队把帖木儿棺椁运到莫斯科的第二天，希特勒德国就进攻了苏联，苏联卫国战争导致了近两千万人死亡。·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结束后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早餐：含；午餐：含；晚餐：含；住宿：撒马尔罕</w:t>
            </w:r>
          </w:p>
        </w:tc>
      </w:tr>
      <w:tr>
        <w:tc>
          <w:tcPr>
            <w:tcW w:w="2310" w:type="dxa"/>
            <w:vAlign w:val="center"/>
            <w:vMerge w:val="restart"/>
          </w:tcPr>
          <w:p>
            <w:pPr/>
            <w:r>
              <w:rPr>
                <w:lang w:val="zh-CN"/>
                <w:rFonts w:ascii="Times New Roman" w:hAnsi="Times New Roman" w:cs="Times New Roman"/>
                <w:sz w:val="20"/>
                <w:szCs w:val="20"/>
                <w:color w:val="000000"/>
              </w:rPr>
              <w:t>2023/05/26</w:t>
            </w:r>
          </w:p>
        </w:tc>
        <w:tc>
          <w:tcPr>
            <w:tcW w:w="2310" w:type="dxa"/>
            <w:gridSpan w:val="7"/>
          </w:tcPr>
          <w:p>
            <w:pPr/>
            <w:r>
              <w:rPr>
                <w:lang w:val="zh-CN"/>
                <w:rFonts w:ascii="Times New Roman" w:hAnsi="Times New Roman" w:cs="Times New Roman"/>
                <w:b/>
                <w:color w:val="000000"/>
              </w:rPr>
              <w:t>撒马尔罕-布哈拉(汽车)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酒店早餐后，乘坐巴士前往布哈拉古城（童话故事人物：阿凡提的故乡）。布哈拉城是乌兹别克斯坦出名的历史文化名城，在两千多年的历史变迁中，它奇迹般地保留了几乎每个时期的建筑。这些建筑设计元素及城市布 局影响了中亚地区大多数城市的建设风格，是中亚建筑艺术史上的瑰宝。布哈拉中，相当一部分古建筑 都可以追溯到中世纪时期，向世人展现出一派近乎完美的中世纪风貌。·午餐后参观阿拉克要塞。根据考古学研究证明，阿拉克要塞是布哈拉最古老的遗迹。在它的前面是堆积出来的列吉斯坦广场，阿拉克要塞不是一个完整的四边形，从西往东有点突出，在东南方向有削角。中世纪的时候，这里是政府官员和军队家属的居住之地，有仓库、银库、商店、学校、政府和监狱。根据民间传说，中亚有一个英雄少年，名字叫西亚乌萨，相貌英俊迷人， 其风度让皇帝都迷倒了，但是皇帝给他出了一个难题：在上摊开一张皮子，让他建一个宫殿正好放得下这张皮子。西亚乌萨用刀子把皮子分的薄 薄的划成窄窄的一条一条，然后连起来围城一个圈，在圈内建了这个宫殿。·参观卡良宣礼塔（KalonMinaret）是极其著名的中亚穆斯林建筑，布哈拉的象征。它为喀拉汗王朝(999-1212)的代表作，完工于1127年。高46米，当时是中亚地区最高的建筑物。“卡良”在塔吉克语中就是“伟大”的意思。建成八九百年来完好无损，它的模样就像灯塔，为丝路商旅的路标。当年成吉思汗看到它后，备感震惊，下旨将它保留下来，这才得以幸存。只是1920年伏龙芝下令炮轰该塔，造成一些损害，现在还能看到修补的痕迹。16、17世纪以后，此地一度曾为恐怖的刑场，有不少罪犯和政治犯被从高塔顶端推下以示惩戒，因此此塔亦有“死亡之塔”的名称。·主题活动：跟着“阿凡提”逛巴扎。穿扮整齐、热情可爱的“阿凡提大叔”的带领下，走进布哈拉的大巴扎，学说当地的语言“你好、多少钱？ 谢谢你。再见！”，实地体验购买当地玲琅满目的手工艺品乐趣，感受 异国草根生活。·参观“托吉扎拉嘎隆”古商业街区。布哈拉处于丝绸之路要道上，因而市面繁荣，商业发达， 池畔广场以西从昔班尼时期开始就是一片繁华的市场区。带拱廊的街道和小巷乃至十字路口都成了拥挤的市场。传统的市场称为塔吉(Taqi)，就是建在十字路口中央附近交叉点上的圆顶商场。如今保留下3个：其中 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当地特色晚餐，结束后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早餐：含；午餐：含；晚餐：含；住宿：布哈拉</w:t>
            </w:r>
          </w:p>
        </w:tc>
      </w:tr>
      <w:tr>
        <w:tc>
          <w:tcPr>
            <w:tcW w:w="2310" w:type="dxa"/>
            <w:vAlign w:val="center"/>
            <w:vMerge w:val="restart"/>
          </w:tcPr>
          <w:p>
            <w:pPr/>
            <w:r>
              <w:rPr>
                <w:lang w:val="zh-CN"/>
                <w:rFonts w:ascii="Times New Roman" w:hAnsi="Times New Roman" w:cs="Times New Roman"/>
                <w:sz w:val="20"/>
                <w:szCs w:val="20"/>
                <w:color w:val="000000"/>
              </w:rPr>
              <w:t>2023/05/27</w:t>
            </w:r>
          </w:p>
        </w:tc>
        <w:tc>
          <w:tcPr>
            <w:tcW w:w="2310" w:type="dxa"/>
            <w:gridSpan w:val="7"/>
          </w:tcPr>
          <w:p>
            <w:pPr/>
            <w:r>
              <w:rPr>
                <w:lang w:val="zh-CN"/>
                <w:rFonts w:ascii="Times New Roman" w:hAnsi="Times New Roman" w:cs="Times New Roman"/>
                <w:b/>
                <w:color w:val="000000"/>
              </w:rPr>
              <w:t>布哈拉-撒马尔罕(汽车)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列基斯坦广场（意为"沙地"），位于撒马尔罕市中心，是一组宏大的建筑群，建于公元15-17世纪。建筑群由三座神学院组成：左侧为兀鲁伯神学院（兀鲁伯为乌中世纪的学者、天文学家、诗人和哲学家），建于1417-1420年；正面为提拉-卡里（意为镶金的）神学院，建于1646-1660年；右侧为希尔－达尔(意为藏狮的）神学院，建于1619－1636年。这三座建筑高大壮观、气势宏伟，内有金碧辉煌的清真寺。兀鲁伯神学院的正门和彩色的穹顶是用各种色彩的陶瓷装饰的，后遭地震破坏，又重新修建了高13米、直径13米的新穹顶，建筑材料采用特殊金属结构。这些神学院是中世纪培养穆斯林神职人员的学府。其中兀鲁伯神学院是15世纪最好的穆斯林学府之一。据说，兀鲁伯曾亲自在此授课，这里是他统治期间世俗科学思想的中心。三座神学院虽建于不同时代，但风格组合相 当成功，是中世纪中亚建筑的杰作。14到15世纪初这里是撒马尔罕的城市中心。在这之前这里是一个很大的旅游廊式的商业市场，有六条主要的街道在这里交汇，这个市场是帖木儿得到妻子图兰-啊卡建 造的。在兀鲁别克时代，根据兀鲁别克的命令这里更名为“大门市场”，为此做了大规模的改建并再次建造了三座大的建筑。·参观沙赫静达陵墓，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午餐后参观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参观撒马尔罕丝质手工地毯的工厂。据介绍，一张丝质地毯通常需要600万个蚕茧，而这600万个蚕茧的染料需要一次性制作完成，以保证颜色均匀一致。工厂至今仍采用传统工艺，用天然的植物果实制作染料。在厂区内，报道团可见种植着染料作物的园区。编织地毯的技术并不复杂，但是一项极其考验耐心的活计。一张中等大小的地毯通常需要花费一个工人7个月的工时，售价约在3500-7000美元不等，工人月薪约在200美元左右。师傅说，由于这项工作的繁琐性，地毯工厂的工人多位女性。据介绍，整个工厂约有工人200余人，每年能够完成地毯约700平方米。作为“丝绸之路”上的传统货物，手工丝质地毯现已成为乌国总统馈赠外国政要的常见礼品之一。在工厂走廊的照片墙上可以看到，我国 主席、俄罗斯总统普京、前美国国务卿希拉里等人均接受过这一礼物·当地特色晚餐，后返回酒店休息。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早餐：含；午餐：含；晚餐：含；住宿：撒马尔罕</w:t>
            </w:r>
          </w:p>
        </w:tc>
      </w:tr>
      <w:tr>
        <w:tc>
          <w:tcPr>
            <w:tcW w:w="2310" w:type="dxa"/>
            <w:vAlign w:val="center"/>
            <w:vMerge w:val="restart"/>
          </w:tcPr>
          <w:p>
            <w:pPr/>
            <w:r>
              <w:rPr>
                <w:lang w:val="zh-CN"/>
                <w:rFonts w:ascii="Times New Roman" w:hAnsi="Times New Roman" w:cs="Times New Roman"/>
                <w:sz w:val="20"/>
                <w:szCs w:val="20"/>
                <w:color w:val="000000"/>
              </w:rPr>
              <w:t>2023/05/28</w:t>
            </w:r>
          </w:p>
        </w:tc>
        <w:tc>
          <w:tcPr>
            <w:tcW w:w="2310" w:type="dxa"/>
            <w:gridSpan w:val="7"/>
          </w:tcPr>
          <w:p>
            <w:pPr/>
            <w:r>
              <w:rPr>
                <w:lang w:val="zh-CN"/>
                <w:rFonts w:ascii="Times New Roman" w:hAnsi="Times New Roman" w:cs="Times New Roman"/>
                <w:b/>
                <w:color w:val="000000"/>
              </w:rPr>
              <w:t>撒马尔罕-塔什干(汽车)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返回塔什干游览塔什干独立广场，是乌兹别克斯坦最重要的广场，占地12公顷，是自由和独立的象征，也是希望之地，一代人的理想变为现实，见证了历史的重要时刻。广场西侧有闪亮的白色建筑参议院大楼，北侧有哭泣的母亲纪念碑。广场总是人山人海，是外国游人参观塔什干的必 游景点，也是国内居民休闲娱乐的最佳去处。广场上有矗立于1991年的独立纪念碑，代表着乌兹别克斯坦的主权。·返回酒店休息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早餐：含；午餐：含；晚餐：含；住宿：塔什干</w:t>
            </w:r>
          </w:p>
        </w:tc>
      </w:tr>
      <w:tr>
        <w:tc>
          <w:tcPr>
            <w:tcW w:w="2310" w:type="dxa"/>
            <w:vAlign w:val="center"/>
            <w:vMerge w:val="restart"/>
          </w:tcPr>
          <w:p>
            <w:pPr/>
            <w:r>
              <w:rPr>
                <w:lang w:val="zh-CN"/>
                <w:rFonts w:ascii="Times New Roman" w:hAnsi="Times New Roman" w:cs="Times New Roman"/>
                <w:sz w:val="20"/>
                <w:szCs w:val="20"/>
                <w:color w:val="000000"/>
              </w:rPr>
              <w:t>2023/05/29</w:t>
            </w:r>
          </w:p>
        </w:tc>
        <w:tc>
          <w:tcPr>
            <w:tcW w:w="2310" w:type="dxa"/>
            <w:gridSpan w:val="7"/>
          </w:tcPr>
          <w:p>
            <w:pPr/>
            <w:r>
              <w:rPr>
                <w:lang w:val="zh-CN"/>
                <w:rFonts w:ascii="Times New Roman" w:hAnsi="Times New Roman" w:cs="Times New Roman"/>
                <w:b/>
                <w:color w:val="000000"/>
              </w:rPr>
              <w:t>塔什干-成都(飞机)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参考航班： GJ8976  1220  2005 (飞行约4小时40分钟)·酒店早餐后，前往乘坐塔什干地下博物馆-塔什干地铁。地铁站的建设始于1960年代后期。和苏联时代莫斯科的地铁一脉相承，进入到塔什干的“地下世界”，恍惚间穿越到了莫斯科的前苏联年代。每个车站都有自己独特的建筑特色：大理石，花岗岩，玻璃，蓝玻璃，艺术陶瓷，雕刻的雪花石膏，ganch和其他装饰。让您感到进入了一个地下建筑艺术博物馆。·体验后前往机场返回成都。**我社有权根据实际情况调整景点游览顺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早餐：含；午餐：不含；晚餐：不含；住宿：温暖的家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1、交通：成都起止往返机票含税(含税)；2、车费：乌兹别克斯坦，境内旅游巴士，根据人数安排车型，每人一正座；2、酒店：境外四-五星舒适酒店，2人一标间不含单房差；3、门票：行程所列景点首道门票及区间车费用；4、用餐：酒店含早不用不退，行程所列正餐；5、导游：优秀中文导游领队服务；6、保险：旅行社责任险，旅游意外险；◆◆◆费用不含1、杂费1000元/人2、进入某些景点照相机、摄像机的需支付的携带费用，约5000-10000苏姆不等(以当地实际收费为准)3、因交通延误、战争、政变、罢工、自然灾害飞机故障、航班取消或更改时间等不可抗力原因所致的额外费用；4、酒店内洗衣、理发、电话、传真、收费电视、饮品、烟酒等个人消费(或酒店内标明须自理的费用)。5、费用包含中未提及的其他一切费用；6、旅游者因违游览约、自身过错、自由活动期间内行为或自身疾病引起的人身和财产损失；7、如要求单住则补足单房差8、不含境外的小费和签证费用；及行李物品保管费及托运行李超重费；</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无</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无</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温馨提示1、托运：请不要将贵重物品及自用应急药品放在托运行李中，以免丢失。旅游过程中，也请妥善保存。请客人自备药品。2、行李限重：国际段-长龙航空限每人免费托运1件行李，限重20公斤；内陆段航班-每人免费可托运1件行李，限重10公斤3、进出海关注意事项：进出乌兹别克海关需要特别注意的是携带外汇要报关，进来的外汇超过10000美金，海关特别出具一个蓝色的美元报关单，低于10000美金，不需要填表。出境的时候所申报的携带外汇不能超过进来申报的总数。如果私自携带，隐瞒不服，将会被没收和被罚款，如果数量巨大还将被起诉。4、落地登记：持乌兹别克签证来乌兹别克斯坦如果住在酒店，落地居住由酒店办理；如果居住其他地方则需要办理落地居住登记(若通过当地旅行社来乌国，必须住酒店，不允许住别处，罚款额2000美金)。落地登记必须要在抵达乌兹别克后72小时内办理，如果逾期则给予罚款，罚款的金额为当地国最低工资的50-200倍。5、电器：电压为220V,50赫兹，交流电为2针插孔。俄罗斯标6、WIFI：绝大部分旅游景点和商场有wifi，一般来说酒店都有WIFI和上网接口。7、货币：需在中国境内先换美金，抵达乌兹别克斯坦后，用美金换成当地货币。8、信用卡使用：(VISA、万事达和美国运通)有银联标志的提款机就可以取现，每次取款都有固定的手续费，但pos机很少。可以使用银联信用卡刷卡，信用卡受信用额度限制，可能产生超出信用额度导致的高额费用，大额消费时建议使用储蓄卡。持标记有VISA、MasterCard国内银行信用卡可在乌兹别克斯坦境内部分商店刷卡消费，并可使用ATM取款。◆◆◆乌兹别克斯坦出团注意事项:1、主要宗教：伊斯兰教。国际电话区号：+9982、气候：乌兹别克气候属严重干旱的大陆性气候。夏季漫长、炎热，7月平均气温为26~32℃，南部白天气温经常高达40℃；冬季短促、寒冷，1月平均气温为－6~-3℃，北部绝对最低气温为－38℃。3、乌兹别克带有机场城市；塔什干、乌尔根齐、布哈拉、撒马尔罕、费尔干纳、纳沃伊、努库斯、铁尔梅兹。4、乌兹别克斯坦国家节日；1月1日新年，3月21日Navruz节，5月9日纪念与荣耀日，9月1日独立节，10月1日教师节，12月8日制宪日。5、习俗：吃饭时严禁脱帽，不能当着客人的面咳嗽；*家里有少妇时，禁止外人进入；*新婚夫妻的房子也禁止外人进入；*由于他们信奉伊斯兰教，所以忌吃猪、狗、驴肉和一切动物的血。6、饮食：乌兹别克斯坦人信仰伊斯兰教，多食牛、羊、马肉和奶制品。喜欢吃抓饭、烤肉串。有时用切碎的熟肉和葱头、酸奶加以搅拌，再加肉汁、胡椒调味，是本民族风味食品。各种烤肉串、烤包子等传统小吃在街头几乎随处可见。7、药店：在乌兹别克斯坦，你可以在药店取得药物，当地称为APTEKA或Dorixona。药店通常是从上午9：00到下午6:00开放。8、购物：乌兹别克当地的工艺品值得购买，很多城市间艺术工作坊有出售很多材质的工艺品可供选择，雕绘竹木鱼骨、刺绣帽、装饰壁挂Suzanne，陶瓷、微缩模型、手工丝绸等，可以体验到“东方生活”最好的地方是布哈拉和撒马尔罕的集贸市场，可以选购不同品种的材料和香料，以制造地毯著名的城市布哈拉已有几百年的历史。9、中国驻乌兹别克使馆联系方式国家地区号：00-998-71；领事部：2334728；使馆传真：2334735紧急情况联系电话：救护车—03，火警—01，警察—02。</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安丽莎</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陈捷</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2023</w:t>
                  </w:r>
                  <w:r w:rsidR="00192D3B">
                    <w:rPr>
                      <w:rFonts w:asciiTheme="minorEastAsia" w:hAnsiTheme="minorEastAsia" w:hint="eastAsia"/>
                    </w:rPr>
                    <w:t xml:space="preserve">年 </w:t>
                  </w:r>
                  <w:r>
                    <w:rPr>
                      <w:rFonts w:asciiTheme="minorEastAsia" w:hAnsiTheme="minorEastAsia"/>
                    </w:rPr>
                    <w:t>5</w:t>
                  </w:r>
                  <w:r w:rsidR="00192D3B">
                    <w:rPr>
                      <w:rFonts w:asciiTheme="minorEastAsia" w:hAnsiTheme="minorEastAsia" w:hint="eastAsia"/>
                    </w:rPr>
                    <w:t xml:space="preserve">月 </w:t>
                  </w:r>
                  <w:r>
                    <w:rPr>
                      <w:rFonts w:asciiTheme="minorEastAsia" w:hAnsiTheme="minorEastAsia" w:hint="eastAsia"/>
                    </w:rPr>
                    <w:t>13</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2023/5/13 10:17:22</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