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彩虹假期团队/散客确认件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哈尔滨中国旅行社有限公司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武珊珊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18946187850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陈翊瑄</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13677696309</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TUR103U250803A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土耳其精品纯玩10日游3U</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1、王卓</w:t>
            </w:r>
          </w:p>
        </w:tc>
        <w:tc>
          <w:tcPr>
            <w:tcW w:w="2310" w:type="dxa"/>
            <w:vAlign w:val="center"/>
          </w:tcPr>
          <w:p>
            <w:pPr/>
            <w:r>
              <w:rPr>
                <w:lang w:val="zh-CN"/>
                <w:rFonts w:ascii="Times New Roman" w:hAnsi="Times New Roman" w:cs="Times New Roman"/>
                <w:sz w:val="20"/>
                <w:szCs w:val="20"/>
                <w:color w:val="000000"/>
              </w:rPr>
              <w:t>WANG/ZHUO</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1996-12-18</w:t>
            </w:r>
          </w:p>
        </w:tc>
        <w:tc>
          <w:tcPr>
            <w:tcW w:w="2310" w:type="dxa"/>
            <w:vAlign w:val="center"/>
          </w:tcPr>
          <w:p>
            <w:pPr/>
            <w:r>
              <w:rPr>
                <w:lang w:val="zh-CN"/>
                <w:rFonts w:ascii="Times New Roman" w:hAnsi="Times New Roman" w:cs="Times New Roman"/>
                <w:sz w:val="20"/>
                <w:szCs w:val="20"/>
                <w:color w:val="000000"/>
              </w:rPr>
              <w:t>E00416336</w:t>
            </w:r>
          </w:p>
        </w:tc>
        <w:tc>
          <w:tcPr>
            <w:tcW w:w="2310" w:type="dxa"/>
            <w:vAlign w:val="center"/>
          </w:tcPr>
          <w:p>
            <w:pPr/>
            <w:r>
              <w:rPr>
                <w:lang w:val="zh-CN"/>
                <w:rFonts w:ascii="Times New Roman" w:hAnsi="Times New Roman" w:cs="Times New Roman"/>
                <w:sz w:val="20"/>
                <w:szCs w:val="20"/>
                <w:color w:val="000000"/>
              </w:rPr>
              <w:t>山东</w:t>
            </w:r>
          </w:p>
        </w:tc>
        <w:tc>
          <w:tcPr>
            <w:tcW w:w="2310" w:type="dxa"/>
            <w:vAlign w:val="center"/>
          </w:tcPr>
          <w:p>
            <w:pPr/>
            <w:r>
              <w:rPr>
                <w:lang w:val="zh-CN"/>
                <w:rFonts w:ascii="Times New Roman" w:hAnsi="Times New Roman" w:cs="Times New Roman"/>
                <w:sz w:val="20"/>
                <w:szCs w:val="20"/>
                <w:color w:val="000000"/>
              </w:rPr>
              <w:t>2025-07-14</w:t>
            </w:r>
          </w:p>
        </w:tc>
        <w:tc>
          <w:tcPr>
            <w:tcW w:w="2310" w:type="dxa"/>
            <w:vAlign w:val="center"/>
          </w:tcPr>
          <w:p>
            <w:pPr/>
            <w:r>
              <w:rPr>
                <w:lang w:val="zh-CN"/>
                <w:rFonts w:ascii="Times New Roman" w:hAnsi="Times New Roman" w:cs="Times New Roman"/>
                <w:sz w:val="20"/>
                <w:szCs w:val="20"/>
                <w:color w:val="000000"/>
              </w:rPr>
              <w:t>2035-07-13</w:t>
            </w:r>
          </w:p>
        </w:tc>
      </w:tr>
      <w:tr>
        <w:tc>
          <w:tcPr>
            <w:tcW w:w="2310" w:type="dxa"/>
            <w:vAlign w:val="center"/>
          </w:tcPr>
          <w:p>
            <w:pPr/>
            <w:r>
              <w:rPr>
                <w:lang w:val="zh-CN"/>
                <w:rFonts w:ascii="Times New Roman" w:hAnsi="Times New Roman" w:cs="Times New Roman"/>
                <w:sz w:val="20"/>
                <w:szCs w:val="20"/>
                <w:color w:val="000000"/>
              </w:rPr>
              <w:t>2、陈曼琳</w:t>
            </w:r>
          </w:p>
        </w:tc>
        <w:tc>
          <w:tcPr>
            <w:tcW w:w="2310" w:type="dxa"/>
            <w:vAlign w:val="center"/>
          </w:tcPr>
          <w:p>
            <w:pPr/>
            <w:r>
              <w:rPr>
                <w:lang w:val="zh-CN"/>
                <w:rFonts w:ascii="Times New Roman" w:hAnsi="Times New Roman" w:cs="Times New Roman"/>
                <w:sz w:val="20"/>
                <w:szCs w:val="20"/>
                <w:color w:val="000000"/>
              </w:rPr>
              <w:t>CHEN/MANLIN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1997-10-24</w:t>
            </w:r>
          </w:p>
        </w:tc>
        <w:tc>
          <w:tcPr>
            <w:tcW w:w="2310" w:type="dxa"/>
            <w:vAlign w:val="center"/>
          </w:tcPr>
          <w:p>
            <w:pPr/>
            <w:r>
              <w:rPr>
                <w:lang w:val="zh-CN"/>
                <w:rFonts w:ascii="Times New Roman" w:hAnsi="Times New Roman" w:cs="Times New Roman"/>
                <w:sz w:val="20"/>
                <w:szCs w:val="20"/>
                <w:color w:val="000000"/>
              </w:rPr>
              <w:t>E00416334</w:t>
            </w:r>
          </w:p>
        </w:tc>
        <w:tc>
          <w:tcPr>
            <w:tcW w:w="2310" w:type="dxa"/>
            <w:vAlign w:val="center"/>
          </w:tcPr>
          <w:p>
            <w:pPr/>
            <w:r>
              <w:rPr>
                <w:lang w:val="zh-CN"/>
                <w:rFonts w:ascii="Times New Roman" w:hAnsi="Times New Roman" w:cs="Times New Roman"/>
                <w:sz w:val="20"/>
                <w:szCs w:val="20"/>
                <w:color w:val="000000"/>
              </w:rPr>
              <w:t>山东</w:t>
            </w:r>
          </w:p>
        </w:tc>
        <w:tc>
          <w:tcPr>
            <w:tcW w:w="2310" w:type="dxa"/>
            <w:vAlign w:val="center"/>
          </w:tcPr>
          <w:p>
            <w:pPr/>
            <w:r>
              <w:rPr>
                <w:lang w:val="zh-CN"/>
                <w:rFonts w:ascii="Times New Roman" w:hAnsi="Times New Roman" w:cs="Times New Roman"/>
                <w:sz w:val="20"/>
                <w:szCs w:val="20"/>
                <w:color w:val="000000"/>
              </w:rPr>
              <w:t>2025-07-14</w:t>
            </w:r>
          </w:p>
        </w:tc>
        <w:tc>
          <w:tcPr>
            <w:tcW w:w="2310" w:type="dxa"/>
            <w:vAlign w:val="center"/>
          </w:tcPr>
          <w:p>
            <w:pPr/>
            <w:r>
              <w:rPr>
                <w:lang w:val="zh-CN"/>
                <w:rFonts w:ascii="Times New Roman" w:hAnsi="Times New Roman" w:cs="Times New Roman"/>
                <w:sz w:val="20"/>
                <w:szCs w:val="20"/>
                <w:color w:val="000000"/>
              </w:rPr>
              <w:t>2035-07-13</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11499.00</w:t>
            </w:r>
          </w:p>
        </w:tc>
        <w:tc>
          <w:tcPr>
            <w:tcW w:w="2310" w:type="dxa"/>
          </w:tcPr>
          <w:p>
            <w:pPr/>
            <w:r>
              <w:rPr>
                <w:lang w:val="zh-CN"/>
                <w:rFonts w:ascii="Times New Roman" w:hAnsi="Times New Roman" w:cs="Times New Roman"/>
                <w:sz w:val="20"/>
                <w:szCs w:val="20"/>
                <w:color w:val="000000"/>
              </w:rPr>
              <w:t>22998.00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杂费</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2000.00</w:t>
            </w:r>
          </w:p>
        </w:tc>
        <w:tc>
          <w:tcPr>
            <w:tcW w:w="2310" w:type="dxa"/>
          </w:tcPr>
          <w:p>
            <w:pPr/>
            <w:r>
              <w:rPr>
                <w:lang w:val="zh-CN"/>
                <w:rFonts w:ascii="Times New Roman" w:hAnsi="Times New Roman" w:cs="Times New Roman"/>
                <w:sz w:val="20"/>
                <w:szCs w:val="20"/>
                <w:color w:val="000000"/>
              </w:rPr>
              <w:t>4000.00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联运费</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600.00</w:t>
            </w:r>
          </w:p>
        </w:tc>
        <w:tc>
          <w:tcPr>
            <w:tcW w:w="2310" w:type="dxa"/>
          </w:tcPr>
          <w:p>
            <w:pPr/>
            <w:r>
              <w:rPr>
                <w:lang w:val="zh-CN"/>
                <w:rFonts w:ascii="Times New Roman" w:hAnsi="Times New Roman" w:cs="Times New Roman"/>
                <w:sz w:val="20"/>
                <w:szCs w:val="20"/>
                <w:color w:val="000000"/>
              </w:rPr>
              <w:t>1200.00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立减</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-499.00</w:t>
            </w:r>
          </w:p>
        </w:tc>
        <w:tc>
          <w:tcPr>
            <w:tcW w:w="2310" w:type="dxa"/>
          </w:tcPr>
          <w:p>
            <w:pPr/>
            <w:r>
              <w:rPr>
                <w:lang w:val="zh-CN"/>
                <w:rFonts w:ascii="Times New Roman" w:hAnsi="Times New Roman" w:cs="Times New Roman"/>
                <w:sz w:val="20"/>
                <w:szCs w:val="20"/>
                <w:color w:val="000000"/>
              </w:rPr>
              <w:t>-998.00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总金额：贰万柒仟贰佰元整</w:t>
            </w:r>
          </w:p>
        </w:tc>
        <w:tc>
          <w:tcPr>
            <w:tcW w:w="2310" w:type="dxa"/>
            <w:textDirection w:val="right"/>
            <w:gridSpan w:val="3"/>
          </w:tcPr>
          <w:p>
            <w:pPr/>
            <w:r>
              <w:rPr>
                <w:lang w:val="zh-CN"/>
                <w:rFonts w:ascii="Times New Roman" w:hAnsi="Times New Roman" w:cs="Times New Roman"/>
                <w:b/>
                <w:color w:val="FF0000"/>
              </w:rPr>
              <w:t>27200.00</w:t>
            </w:r>
          </w:p>
        </w:tc>
      </w:tr>
      <w:tr>
        <w:tc>
          <w:tcPr>
            <w:tcW w:w="2310" w:type="dxa"/>
            <w:gridSpan w:val="8"/>
          </w:tcPr>
          <w:p>
            <w:pPr/>
            <w:r>
              <w:rPr>
                <w:lang w:val="zh-CN"/>
                <w:rFonts w:ascii="Times New Roman" w:hAnsi="Times New Roman" w:cs="Times New Roman"/>
                <w:sz w:val="20"/>
                <w:szCs w:val="20"/>
                <w:color w:val="000000"/>
              </w:rPr>
              <w:t>哈尔滨起止配联运 去程当天 回程申请延后两天 杂费全含 不过系统  客人是度蜜月  麻烦多照顾 注意品控</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中国建设银行股份有限公司成都高新支行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51050140613700000979</w:t>
            </w:r>
          </w:p>
        </w:tc>
      </w:tr>
      <w:tr>
        <w:tc>
          <w:tcPr>
            <w:tcW w:w="2310" w:type="dxa"/>
            <w:gridSpan w:val="3"/>
          </w:tcPr>
          <w:p>
            <w:pPr/>
            <w:r>
              <w:rPr>
                <w:lang w:val="zh-CN"/>
                <w:rFonts w:ascii="Times New Roman" w:hAnsi="Times New Roman" w:cs="Times New Roman"/>
                <w:sz w:val="20"/>
                <w:szCs w:val="20"/>
                <w:color w:val="000000"/>
              </w:rPr>
              <w:t>中国工商银行股份有限公司成都锦东路支行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4402072319100062422</w:t>
            </w:r>
          </w:p>
        </w:tc>
      </w:tr>
      <w:tr>
        <w:tc>
          <w:tcPr>
            <w:tcW w:w="2310" w:type="dxa"/>
            <w:gridSpan w:val="3"/>
          </w:tcPr>
          <w:p>
            <w:pPr/>
            <w:r>
              <w:rPr>
                <w:lang w:val="zh-CN"/>
                <w:rFonts w:ascii="Times New Roman" w:hAnsi="Times New Roman" w:cs="Times New Roman"/>
                <w:sz w:val="20"/>
                <w:szCs w:val="20"/>
                <w:color w:val="000000"/>
              </w:rPr>
              <w:t>中国光大银行成都冠城支行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39850188000151101</w:t>
            </w:r>
          </w:p>
        </w:tc>
      </w:tr>
      <w:tr>
        <w:tc>
          <w:tcPr>
            <w:tcW w:w="2310" w:type="dxa"/>
            <w:gridSpan w:val="3"/>
          </w:tcPr>
          <w:p>
            <w:pPr/>
            <w:r>
              <w:rPr>
                <w:lang w:val="zh-CN"/>
                <w:rFonts w:ascii="Times New Roman" w:hAnsi="Times New Roman" w:cs="Times New Roman"/>
                <w:sz w:val="20"/>
                <w:szCs w:val="20"/>
                <w:color w:val="000000"/>
              </w:rPr>
              <w:t>中国民生银行股份有限公司成都金牛支行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151030488</w:t>
            </w:r>
          </w:p>
        </w:tc>
      </w:tr>
      <w:tr>
        <w:tc>
          <w:tcPr>
            <w:tcW w:w="2310" w:type="dxa"/>
            <w:gridSpan w:val="3"/>
          </w:tcPr>
          <w:p>
            <w:pPr/>
            <w:r>
              <w:rPr>
                <w:lang w:val="zh-CN"/>
                <w:rFonts w:ascii="Times New Roman" w:hAnsi="Times New Roman" w:cs="Times New Roman"/>
                <w:sz w:val="20"/>
                <w:szCs w:val="20"/>
                <w:color w:val="000000"/>
              </w:rPr>
              <w:t>成都农村商业银行股份有限公司高新支行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021205000120010033104</w:t>
            </w:r>
          </w:p>
        </w:tc>
      </w:tr>
      <w:tr>
        <w:tc>
          <w:tcPr>
            <w:tcW w:w="2310" w:type="dxa"/>
            <w:gridSpan w:val="3"/>
          </w:tcPr>
          <w:p>
            <w:pPr/>
            <w:r>
              <w:rPr>
                <w:lang w:val="zh-CN"/>
                <w:rFonts w:ascii="Times New Roman" w:hAnsi="Times New Roman" w:cs="Times New Roman"/>
                <w:sz w:val="20"/>
                <w:szCs w:val="20"/>
                <w:color w:val="000000"/>
              </w:rPr>
              <w:t>中国银行成都高新技术产业开发区支行营业部</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117229297624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全国各地-成都(飞机)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当天于指定地点集合，办理登机手续及托运行李，次日凌晨搭乘四川航空公司航班飞往伊斯坦布尔。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早餐：不含；午餐：不含；晚餐：不含；住宿：飞机上</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成都-伊斯坦布尔-安卡拉(飞机、汽车)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后，前往参观【蓝色清真寺】（入内约45分钟）、【古罗马竞技场】（外观约15分钟）；后继续前往参观【圣索菲亚大教堂】（外观约15分钟）、【托普卡帕老皇宫】（外观约15分钟）；后前往【乘船游览美丽的博斯普鲁斯海峡】（约1小时）；午餐特别安排在博斯普鲁斯海峡餐厅享用特色烤鱼餐；后驱车前往土耳其的行政首都—安卡拉；抵达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早餐：飞机早餐；午餐：烤鱼餐；晚餐：酒店晚餐；住宿：安卡拉当地五星酒店</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安卡拉-卡帕多奇亚(汽车)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早餐后，前往游览【国父墓】（约1小时）、【安卡拉城堡】（外观约30分钟）；后驱车前往卡帕多奇亚；途径参观【图兹湖】（约20分钟）；晚餐后入住酒店休息。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早餐：酒店早餐；午餐：当地午餐；晚餐：酒店晚餐；住宿：卡帕多奇亚当地五星酒店</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卡帕多奇亚(汽车)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清晨，可自费体验热气球，从高空俯瞰千姿百态的石头，各种稀奇古怪的造型，幻想来到了美国的科幻大片《星球大战》中的外星球；酒店早餐后，前往参观【格雷梅露天博物馆】（入内约1小时）、【鸽子谷】（外观约20分钟）；参观【地下城卡伊马克勒】（入内约1小时）；午餐特别安排品尝卡帕多奇亚特色瓦罐餐；后前往参观【阿瓦诺斯陶瓷小镇】（约1小时）；参观【精灵烟囱】（入内约45分钟）、【乌其萨天然奇石景观】（外观约20分钟）；晚餐后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早餐：酒店早餐；午餐：瓦罐餐；晚餐：酒店晚餐；住宿：卡帕多奇亚当地五星酒店</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卡帕多奇亚-孔亚-帕姆卡莱(汽车)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车前往孔亚；途径参观【苏丹古驿站】（外观约20分钟）；后前往参观【梅夫拉那纪念馆】（约1小时），是孔亚的景点，许多穆斯林不远千里而来，前身是伊斯兰苏菲教派旋转苦行僧侣修行的场所；午餐特别安排享用孔亚特色长披萨餐；后继续乘车前往帕姆卡莱，入住温泉酒店休息。温馨提示：棉花堡酒店内可免费泡温泉（视酒店营业温泉时间而定），在酒店内购买泳衣价格很贵，建议客人自带泳衣泳帽！温泉区使用浴巾请自带，如需使用酒店内浴巾需单独支付费用，请知晓！棉花堡酒店无电梯，如需行李员搬运行李，需支付礼节性小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早餐：酒店早餐；午餐：长披萨餐；晚餐：酒店晚餐；住宿：帕姆卡莱五星温泉酒店</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帕姆卡莱-费特希耶(汽车)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参观【棉花堡】和【希拉波利斯古城】（共计约2小时）；后驱车前往“会微笑”的藏在蔚蓝地中海中的小镇，地中海绿宝石—费特希耶；抵达后参观【费特希耶老城镇Paspatur】（约1小时）；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早餐：酒店早餐；午餐：当地午餐；晚餐：酒店晚餐；住宿：费特希耶精品酒店（不挂星））</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费特希耶-库萨达斯(汽车)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厄吕代尼兹海滩】（约1小时），可以自费体验滑翔伞，在土耳其也能感受到电影《等风来》里的浪漫桥段：“你冲出去也没有用，飞不起来的，你要等风来......”在这里，学会放下了急躁的心，静静地在悬崖边等待，闭上眼睛感受风的速度；后驱车前往爱情海海滨城市—库萨达斯；途径参观【以弗所遗址】（约1.5小时）；晚餐后入住酒店休息。特别说明：库萨达斯五星酒店较少，如遇库萨达斯酒店满房，则更换为伊兹密尔入住酒店，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早餐：酒店早餐；午餐：当地午餐；晚餐：酒店晚餐；住宿：库萨达斯当地五星酒店</w:t>
            </w:r>
          </w:p>
        </w:tc>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库萨达斯-伊兹密尔-伊斯坦布尔(飞机、汽车)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途径游览【阿拉恰特小镇】（约1小时）；后继续驱车送往伊兹密尔机场，搭乘内陆航班返回伊斯坦布尔；抵达后前往参观【塔克西姆广场】、【独立大街】（共计约1.5小时），步行街内还有一家【土耳其百年网红软糖店铺HafizMustafa1864】（非购物店，当地网红商铺，您可自由前往选购）；晚餐特别安排享用当地特色烤肉餐，品尝异国风味；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早餐：酒店早餐；午餐：当地午餐；晚餐：烤肉餐；住宿：伊斯坦布尔国际五星酒店</w:t>
            </w:r>
          </w:p>
        </w:tc>
      </w:tr>
      <w:tr>
        <w:tc>
          <w:tcPr>
            <w:tcW w:w="2310" w:type="dxa"/>
            <w:vAlign w:val="center"/>
            <w:vMerge w:val="restart"/>
          </w:tcPr>
          <w:p>
            <w:pPr/>
            <w:r>
              <w:rPr>
                <w:lang w:val="zh-CN"/>
                <w:rFonts w:ascii="Times New Roman" w:hAnsi="Times New Roman" w:cs="Times New Roman"/>
                <w:sz w:val="20"/>
                <w:szCs w:val="20"/>
                <w:color w:val="000000"/>
              </w:rPr>
              <w:t>2025/08/11</w:t>
            </w:r>
          </w:p>
        </w:tc>
        <w:tc>
          <w:tcPr>
            <w:tcW w:w="2310" w:type="dxa"/>
            <w:gridSpan w:val="7"/>
          </w:tcPr>
          <w:p>
            <w:pPr/>
            <w:r>
              <w:rPr>
                <w:lang w:val="zh-CN"/>
                <w:rFonts w:ascii="Times New Roman" w:hAnsi="Times New Roman" w:cs="Times New Roman"/>
                <w:b/>
                <w:color w:val="000000"/>
              </w:rPr>
              <w:t>伊斯坦布尔-成都(汽车、飞机)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酒店早餐后，驱车前往游览【大巴扎】（自由活动约1小时，导游根据时间具体安排游览时间，此处为伊斯坦布尔集市，为景点参观，非购物店）；后按照预定时间驱车前往机场，搭乘航班返回成都。</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早餐：酒店早餐；午餐：自理；晚餐：自理；住宿：飞机上</w:t>
            </w:r>
          </w:p>
        </w:tc>
      </w:tr>
      <w:tr>
        <w:tc>
          <w:tcPr>
            <w:tcW w:w="2310" w:type="dxa"/>
            <w:vAlign w:val="center"/>
            <w:vMerge w:val="restart"/>
          </w:tcPr>
          <w:p>
            <w:pPr/>
            <w:r>
              <w:rPr>
                <w:lang w:val="zh-CN"/>
                <w:rFonts w:ascii="Times New Roman" w:hAnsi="Times New Roman" w:cs="Times New Roman"/>
                <w:sz w:val="20"/>
                <w:szCs w:val="20"/>
                <w:color w:val="000000"/>
              </w:rPr>
              <w:t>2025/08/12</w:t>
            </w:r>
          </w:p>
        </w:tc>
        <w:tc>
          <w:tcPr>
            <w:tcW w:w="2310" w:type="dxa"/>
            <w:gridSpan w:val="7"/>
          </w:tcPr>
          <w:p>
            <w:pPr/>
            <w:r>
              <w:rPr>
                <w:lang w:val="zh-CN"/>
                <w:rFonts w:ascii="Times New Roman" w:hAnsi="Times New Roman" w:cs="Times New Roman"/>
                <w:b/>
                <w:color w:val="000000"/>
              </w:rPr>
              <w:t>成都-全国各地(无)</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抵达成都，转机离开，结束旅行！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成都//土耳其团队经济舱机票及税金；伊兹密尔-伊斯坦布尔经济舱机票及税金；2、地接安排：酒店：行程所列酒店双人标准间，若团队出现单间，我社有权利提前说明情况并调整夫妻及亲属住宿安排，请给予理解；如有特别要求出现单间请补单房差；膳食：行程中所列餐食，飞机餐计入正餐，酒店自助早餐，中式团队餐为6菜1汤，当地餐为自助餐；部分酒店房费含晚餐，若不用餐，费用不退；交通：豪华空调旅游巴士，保证1人1座；导游：专业中文导游/当地专职司机；景点：行程中所列之常规景点首道门票；其他：每人每天1瓶矿泉水；3、旅行社责任险；4、全程不进店，推荐自费项目；费用不含：1、全程单房差4000元/人2、全程杂费1500元/人（机械燃油费税费及当地司机导游服务费）;3、土耳其签证费用500元/人；4、护照费用；5、一切个人消费（如：电话、传真、付费频道、行李搬运费、保管费及超重费等等）；6、旅游者因违约、自身过错或自身疾病引起的人身和财产损失；7、非我社所能控制因素下引起的额外费用，如：自然灾害、罢工、境外当地政策或民俗禁忌、景点维修等；8、.购物项目：行程内经过的景区商店、餐厅、商场、集市、中途休息站等商店不属于旅游定点购物店，若游客在此类购物店所购买的商品出现质量问题，旅行社不承担任何责任。报名后因游客自身原因取消参团的损失条款：1、以收到定金4000元/人为确认参团留位，如取消定金不退，并于出发前7天付清全款；2、团队出发前30天—15天取消，游客需支付50%团款损失（机位定金+酒店损失）；如已经送签，另需支付签证费；3、团队出发前14天—8天取消，游客需支付80%团款损失（机位定金+酒店损失+地接车、导、境外机票等费用）；如已经送签，另需支付签证费；4、团队出发前7天—3天取消，只可退200元/人餐费和景点门票；5、团队出发前3天—0天取消，全款损失。6、如使馆签证原因，被拒签或者缓签，造成的损失由客人自行承担，我社只收取签证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补充协议1.土耳其具有深厚的文化底蕴，以下推荐的自费项目都是各国的精华所在。您可以在自由活动期间，根据自己的喜好，自愿选择自费项目，相信土耳其的自费活动会带给您不同的体验；2.所有自费项目绝不强迫，如达到自费项目对应的成行人数，且在时间、天气等因素允许的前提下，旅行社予以安排。如因行程安排、天气、景区临时关闭等原因无法安排，请您理解；3.自费项目参加与否，由旅游者根据自身需要和个人意志，自愿、自主决定，旅行社全程绝不强制参加自费项目。如旅游者不参加自费项目，将根据行程安排的内容进行活动；4.自费项目为统一标价，简要内容参见本补充协议的自费项目介绍，如您同意参加，须在境外自费项目协议签字确认。一旦发生纠纷，我社将把您签字确认的协议作为处理依据，以保证您的权益；5.此售价为10人以上成团的优惠价，如不足10人时，导游可能将取消自费活动的安排，请您谅解；6.请您在选择自费项目之前慎重考虑，一旦确认参加并付费后，导游将会进行预订，费用产生后旅游者取消的，将无法退还您费用。城市自费项目项目介绍价格（美金）棉花堡棉花堡热气球清晨，热气球公司派专车去酒店接客人前往气球起飞地。抵达指定地点后，天气晴朗的条件下，热气球充气，升空。升到高空，欣赏日出以及棉花堡的全景。然后下降，浮过棉花堡之间，您可以在热气球上进行拍照或录像。着陆后，给每人颁发一份证书，并赠送一杯香槟庆祝这次成功的空中历险。活动结束后，热汽球公司的专车会将您送回酒店，并于酒店内早餐。天气环境直接影响此项自费活动能否进行。在天气条件不允许的情况下，热气球不能升空，望谅解！因该项目为提前预订，除天气原因外如最终有参加客人未乘坐，此费用不退。250-350/人（区间价格）滑翔伞一对一的教练将带您乘坐滑翔伞欣赏棉花堡全景。（由于滑翔伞为刺激性项目，具有一定危险性，参加者务必听从教练指挥，切勿做出危险性动作。参加该项目时，请遵守次序，切勿拥挤推诿。客人请根据自身身体情况慎重决定是否参加）160/人费特希耶滑翔伞在费特希耶最不可错过的一项活动——滑翔伞。费特希耶是世界上最适合体验跳伞运动的地方，每年四月到十月间成千上万的跳伞运动爱好者聚集在这里，争相体验这一刺激、健康的运动。在死海上空飞翔，感受一望无际的海水和高山，是非同寻常的体验。210/人卡帕多奇亚吉普车探索之旅乘越野车探索卡帕多奇亚是最令人兴奋的事情，越野车让您可以畅享山谷、教堂和文化美景；带您去人烟罕至的地方，让您远离喧嚣，看尽青山绿水，感受越野旅游带来的兴奋。(4人一辆车）100/人卡帕多奇亚热气球来到卡帕多起亚，有一样东西一定要尝试，就是乘坐热气球俯瞰漫山遍野的奇怪岩石柱。卡帕多起亚的热气球举世闻名，让人向往飞上空。热气球在蔚蓝得像海的天空上继续穿梭。除了漫山遍野的奇怪石林外，五彩缤纷，遍布在蓝天上的其它热气球也一样美丽。我不禁陶醉在这一片像仙境般的奇石怪岩之中。面对脚下那层层叠叠的岩石，不禁让人感受到大自然的伟大。清晨，热气球公司派专车去酒店接客人前往气球起飞地。抵达指定地点后，天气晴朗的条件下，热气球充气，升空。升到高空，欣赏日出以及卡帕多西亚的全景。然后下降，浮过山谷之间，欣赏童话般的烟囱和洞穴，您可以在热气球上进行拍照或录像。着陆后，给每人颁发一份证书，并赠送一杯香槟庆祝这次成功的空中历险。活动结束后，热汽球公司的专车会将您送回酒店，并于酒店内早餐。天气环境直接影响此项自费活动能否进行。在天气条件不允许的情况下，热气球不能升空，望谅解！因该项目为提前预订，除天气原因外如最终有参加客人未乘坐，此费用不退。此项目预定人数众多，最终价格以境外导游收取为准。280-350/人土耳其之夜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75/人ATV巡游乘ATV巡游是在卡帕多奇亚最受欢迎的项目之一，让您可以畅享山谷、地貌美景；伴随隆隆的机车声，目之所及皆是大自然的鬼斧神工，感受无比的自由和辽阔。（由于ATV需本人驾驶，项目具有一定挑战性，请客人根据自身情况谨慎报名。）80/人</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全程客人不可以脱团,如脱团,全程报价另议.（脱离导游和领队2小时以上，视为脱团）?旅游法规定：出境旅游者不得在境外非法滞留，随团出境的旅游者不得擅自分团、脱团（同样适用自备签证的参团游客）。本公司在境外指定地接社为本团唯一地接社（地接社承担游客安全，乘客意外保险等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上述行程与酒店一切以出团通知为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武珊珊</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陈翊瑄</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2025/7/19 11:12:33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