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川旅旅行社团队/散客确认书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竹园</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JOJO</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18782240923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曾美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CDAX-D-251019-2</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单地接-3晚Nalagi+2晚外岛喜来登</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1、XU，GAOMING</w:t>
            </w:r>
          </w:p>
        </w:tc>
        <w:tc>
          <w:tcPr>
            <w:tcW w:w="2310" w:type="dxa"/>
            <w:vAlign w:val="center"/>
          </w:tcPr>
          <w:p>
            <w:pPr/>
            <w:r>
              <w:rPr>
                <w:lang w:val="zh-CN"/>
                <w:rFonts w:ascii="Times New Roman" w:hAnsi="Times New Roman" w:cs="Times New Roman"/>
                <w:sz w:val="20"/>
                <w:szCs w:val="20"/>
                <w:color w:val="000000"/>
              </w:rPr>
              <w:t>X/UGAOMING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2、TIAN，LIN</w:t>
            </w:r>
          </w:p>
        </w:tc>
        <w:tc>
          <w:tcPr>
            <w:tcW w:w="2310" w:type="dxa"/>
            <w:vAlign w:val="center"/>
          </w:tcPr>
          <w:p>
            <w:pPr/>
            <w:r>
              <w:rPr>
                <w:lang w:val="zh-CN"/>
                <w:rFonts w:ascii="Times New Roman" w:hAnsi="Times New Roman" w:cs="Times New Roman"/>
                <w:sz w:val="20"/>
                <w:szCs w:val="20"/>
                <w:color w:val="000000"/>
              </w:rPr>
              <w:t>T/IANLIN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总金额：零圆整</w:t>
            </w:r>
          </w:p>
        </w:tc>
        <w:tc>
          <w:tcPr>
            <w:tcW w:w="2310" w:type="dxa"/>
            <w:textDirection w:val="right"/>
            <w:gridSpan w:val="3"/>
          </w:tcPr>
          <w:p>
            <w:pPr/>
            <w:r>
              <w:rPr>
                <w:lang w:val="zh-CN"/>
                <w:rFonts w:ascii="Times New Roman" w:hAnsi="Times New Roman" w:cs="Times New Roman"/>
                <w:b/>
                <w:color w:val="FF0000"/>
              </w:rPr>
              <w:t>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10.20日入住3晚主岛nalagi基础房*1间含早餐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10.23日入外岛喜来登2晚客房,1张特大床,无烟房,海滨房含早餐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5晚相关酒店住宿及餐食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3段拼车接送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3段中文导游接机服务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电话卡2张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往返外岛船票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JOJO</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曾美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14:27:14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