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百悦假期</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李勇智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18823852842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周媛媛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I-E-251225-1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单地接-2晚主岛希尔顿+3晚外岛Mana</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6(5大1小)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1、杨永红</w:t>
            </w:r>
          </w:p>
        </w:tc>
        <w:tc>
          <w:tcPr>
            <w:tcW w:w="2310" w:type="dxa"/>
            <w:vAlign w:val="center"/>
          </w:tcPr>
          <w:p>
            <w:pPr/>
            <w:r>
              <w:rPr>
                <w:lang w:val="zh-CN"/>
                <w:rFonts w:ascii="Times New Roman" w:hAnsi="Times New Roman" w:cs="Times New Roman"/>
                <w:sz w:val="20"/>
                <w:szCs w:val="20"/>
                <w:color w:val="000000"/>
              </w:rPr>
              <w:t>YANG/YONGHONG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2、宋武优</w:t>
            </w:r>
          </w:p>
        </w:tc>
        <w:tc>
          <w:tcPr>
            <w:tcW w:w="2310" w:type="dxa"/>
            <w:vAlign w:val="center"/>
          </w:tcPr>
          <w:p>
            <w:pPr/>
            <w:r>
              <w:rPr>
                <w:lang w:val="zh-CN"/>
                <w:rFonts w:ascii="Times New Roman" w:hAnsi="Times New Roman" w:cs="Times New Roman"/>
                <w:sz w:val="20"/>
                <w:szCs w:val="20"/>
                <w:color w:val="000000"/>
              </w:rPr>
              <w:t>SONG/WUYOU</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2023-02-08</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3、武 姣</w:t>
            </w:r>
          </w:p>
        </w:tc>
        <w:tc>
          <w:tcPr>
            <w:tcW w:w="2310" w:type="dxa"/>
            <w:vAlign w:val="center"/>
          </w:tcPr>
          <w:p>
            <w:pPr/>
            <w:r>
              <w:rPr>
                <w:lang w:val="zh-CN"/>
                <w:rFonts w:ascii="Times New Roman" w:hAnsi="Times New Roman" w:cs="Times New Roman"/>
                <w:sz w:val="20"/>
                <w:szCs w:val="20"/>
                <w:color w:val="000000"/>
              </w:rPr>
              <w:t>WU-/JIAO</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4、宋天阳</w:t>
            </w:r>
          </w:p>
        </w:tc>
        <w:tc>
          <w:tcPr>
            <w:tcW w:w="2310" w:type="dxa"/>
            <w:vAlign w:val="center"/>
          </w:tcPr>
          <w:p>
            <w:pPr/>
            <w:r>
              <w:rPr>
                <w:lang w:val="zh-CN"/>
                <w:rFonts w:ascii="Times New Roman" w:hAnsi="Times New Roman" w:cs="Times New Roman"/>
                <w:sz w:val="20"/>
                <w:szCs w:val="20"/>
                <w:color w:val="000000"/>
              </w:rPr>
              <w:t>SONG/TIANYANG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5、周意恒</w:t>
            </w:r>
          </w:p>
        </w:tc>
        <w:tc>
          <w:tcPr>
            <w:tcW w:w="2310" w:type="dxa"/>
            <w:vAlign w:val="center"/>
          </w:tcPr>
          <w:p>
            <w:pPr/>
            <w:r>
              <w:rPr>
                <w:lang w:val="zh-CN"/>
                <w:rFonts w:ascii="Times New Roman" w:hAnsi="Times New Roman" w:cs="Times New Roman"/>
                <w:sz w:val="20"/>
                <w:szCs w:val="20"/>
                <w:color w:val="000000"/>
              </w:rPr>
              <w:t>ZHOU/YIHENG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6、宋威敏</w:t>
            </w:r>
          </w:p>
        </w:tc>
        <w:tc>
          <w:tcPr>
            <w:tcW w:w="2310" w:type="dxa"/>
            <w:vAlign w:val="center"/>
          </w:tcPr>
          <w:p>
            <w:pPr/>
            <w:r>
              <w:rPr>
                <w:lang w:val="zh-CN"/>
                <w:rFonts w:ascii="Times New Roman" w:hAnsi="Times New Roman" w:cs="Times New Roman"/>
                <w:sz w:val="20"/>
                <w:szCs w:val="20"/>
                <w:color w:val="000000"/>
              </w:rPr>
              <w:t>SONG/WEIMIN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7400.00</w:t>
            </w:r>
          </w:p>
        </w:tc>
        <w:tc>
          <w:tcPr>
            <w:tcW w:w="2310" w:type="dxa"/>
          </w:tcPr>
          <w:p>
            <w:pPr/>
            <w:r>
              <w:rPr>
                <w:lang w:val="zh-CN"/>
                <w:rFonts w:ascii="Times New Roman" w:hAnsi="Times New Roman" w:cs="Times New Roman"/>
                <w:sz w:val="20"/>
                <w:szCs w:val="20"/>
                <w:color w:val="000000"/>
              </w:rPr>
              <w:t>37000.00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1000.00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总金额：叁万捌仟元整</w:t>
            </w:r>
          </w:p>
        </w:tc>
        <w:tc>
          <w:tcPr>
            <w:tcW w:w="2310" w:type="dxa"/>
            <w:textDirection w:val="right"/>
            <w:gridSpan w:val="3"/>
          </w:tcPr>
          <w:p>
            <w:pPr/>
            <w:r>
              <w:rPr>
                <w:lang w:val="zh-CN"/>
                <w:rFonts w:ascii="Times New Roman" w:hAnsi="Times New Roman" w:cs="Times New Roman"/>
                <w:b/>
                <w:color w:val="FF0000"/>
              </w:rPr>
              <w:t>38000.00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12月25日入住2晚主岛希尔顿-GardenViewGuestroomw/Lounge含早餐*2间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12月27日入住3晚外岛Mana-IslandBure花园草屋含早晚餐*2间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机场-酒店-丹娜绕码头-机场接送服务（拼车，不可指定接送时间及船票时间）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往返外岛固定班次船票(上岛时间09:30/12:15/15:15下岛时间10:45/13:30/16:40)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赠送5张流量卡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房价包含：早餐+自助晚餐；免费使用浮潜工具，救生衣，皮划艇等；PremiumBeachBure房型额外会有经理的欢迎卡片，并赠送2瓶矿泉水，提供洗衣服务，但是不包含熨衣服。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取消政策：Mana提前45天以上取消,不收取费用；提前15-44天取消，收取订单的50%作为取消费；14天及14天以内取消，收取订单的100%作为取消费；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李勇智</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周媛媛</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19:42:14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