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深圳好旅途国际旅行社有限公司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桃子</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13923756741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18148152357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J-E-250410-1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香港起止团票-5晚龟岛+1晚希尔顿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2025-04-10 FJ392 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2025-04-17 FJ391 楠迪→香港HKG 08:20-14:5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1、秦淑贤</w:t>
            </w:r>
          </w:p>
        </w:tc>
        <w:tc>
          <w:tcPr>
            <w:tcW w:w="2310" w:type="dxa"/>
            <w:vAlign w:val="center"/>
          </w:tcPr>
          <w:p>
            <w:pPr/>
            <w:r>
              <w:rPr>
                <w:lang w:val="zh-CN"/>
                <w:rFonts w:ascii="Times New Roman" w:hAnsi="Times New Roman" w:cs="Times New Roman"/>
                <w:sz w:val="20"/>
                <w:szCs w:val="20"/>
                <w:color w:val="000000"/>
              </w:rPr>
              <w:t>QIN/SHUXIAN</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2、陈柳克</w:t>
            </w:r>
          </w:p>
        </w:tc>
        <w:tc>
          <w:tcPr>
            <w:tcW w:w="2310" w:type="dxa"/>
            <w:vAlign w:val="center"/>
          </w:tcPr>
          <w:p>
            <w:pPr/>
            <w:r>
              <w:rPr>
                <w:lang w:val="zh-CN"/>
                <w:rFonts w:ascii="Times New Roman" w:hAnsi="Times New Roman" w:cs="Times New Roman"/>
                <w:sz w:val="20"/>
                <w:szCs w:val="20"/>
                <w:color w:val="000000"/>
              </w:rPr>
              <w:t>CHEN/LIUKE</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47750.00</w:t>
            </w:r>
          </w:p>
        </w:tc>
        <w:tc>
          <w:tcPr>
            <w:tcW w:w="2310" w:type="dxa"/>
          </w:tcPr>
          <w:p>
            <w:pPr/>
            <w:r>
              <w:rPr>
                <w:lang w:val="zh-CN"/>
                <w:rFonts w:ascii="Times New Roman" w:hAnsi="Times New Roman" w:cs="Times New Roman"/>
                <w:sz w:val="20"/>
                <w:szCs w:val="20"/>
                <w:color w:val="000000"/>
              </w:rPr>
              <w:t>95500.00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总金额：玖万伍仟伍佰元整</w:t>
            </w:r>
          </w:p>
        </w:tc>
        <w:tc>
          <w:tcPr>
            <w:tcW w:w="2310" w:type="dxa"/>
            <w:textDirection w:val="right"/>
            <w:gridSpan w:val="3"/>
          </w:tcPr>
          <w:p>
            <w:pPr/>
            <w:r>
              <w:rPr>
                <w:lang w:val="zh-CN"/>
                <w:rFonts w:ascii="Times New Roman" w:hAnsi="Times New Roman" w:cs="Times New Roman"/>
                <w:b/>
                <w:color w:val="FF0000"/>
              </w:rPr>
              <w:t>95500.00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航班信息：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4月10日FJ?392???HKGNAN??1655?0705+1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4月17日FJ?391???NANHKG??0820?1450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4月11日入住5晚外岛龟岛酒店GrandBeachfrontVilla1间含全餐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4月16日入住1晚主岛希尔顿酒店花园景观房1间含早餐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机场--丹娜绕码头-希尔顿-机场拼车接送服务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龟岛包快艇上岛，回程班次船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境外旅游意外险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龟岛酒店房费包含：含全餐；私人海滩野餐；随时提供餐食和小吃；私人外出就餐（包括栈桥或山顶晚餐）；免费客房服务；管家；所有饮料--包括红酒和其他酒类；免费活动包括钓鱼、体验潜水、浮潜、帆船、山地自行车，帆板，站立桨板，皮划艇、骑马等；蓝色泻湖区域的日落巡游；洗衣服务（无干洗服务）；每晚举行Kava仪式（星期日除外）；仅精品店内提供免费Wi-F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桃子</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2025/3/20 16:39:48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