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北京春秋旅行社有限公司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智珍珍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15810357298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苟玉婷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19082457670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T-O-260620-1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单地接邮轮24+1人多国日游项目- 斐济+萨摩亚+美萨+拉罗汤加+大溪地</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24(24大)</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24</w:t>
            </w:r>
          </w:p>
        </w:tc>
        <w:tc>
          <w:tcPr>
            <w:tcW w:w="2310" w:type="dxa"/>
          </w:tcPr>
          <w:p>
            <w:pPr/>
            <w:r>
              <w:rPr>
                <w:lang w:val="zh-CN"/>
                <w:rFonts w:ascii="Times New Roman" w:hAnsi="Times New Roman" w:cs="Times New Roman"/>
                <w:sz w:val="20"/>
                <w:szCs w:val="20"/>
                <w:color w:val="000000"/>
              </w:rPr>
              <w:t>6200.00</w:t>
            </w:r>
          </w:p>
        </w:tc>
        <w:tc>
          <w:tcPr>
            <w:tcW w:w="2310" w:type="dxa"/>
          </w:tcPr>
          <w:p>
            <w:pPr/>
            <w:r>
              <w:rPr>
                <w:lang w:val="zh-CN"/>
                <w:rFonts w:ascii="Times New Roman" w:hAnsi="Times New Roman" w:cs="Times New Roman"/>
                <w:sz w:val="20"/>
                <w:szCs w:val="20"/>
                <w:color w:val="000000"/>
              </w:rPr>
              <w:t>148800.00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总金额：壹拾肆万捌仟捌佰元整</w:t>
            </w:r>
          </w:p>
        </w:tc>
        <w:tc>
          <w:tcPr>
            <w:tcW w:w="2310" w:type="dxa"/>
            <w:textDirection w:val="right"/>
            <w:gridSpan w:val="3"/>
          </w:tcPr>
          <w:p>
            <w:pPr/>
            <w:r>
              <w:rPr>
                <w:lang w:val="zh-CN"/>
                <w:rFonts w:ascii="Times New Roman" w:hAnsi="Times New Roman" w:cs="Times New Roman"/>
                <w:b/>
                <w:color w:val="FF0000"/>
              </w:rPr>
              <w:t>148800.00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&lt;p&gt;1、订单如非不可抗力因素造成的取消，在取消期外的，统一按订单金额的3%收取操作取消费（特殊情况请提供证明申请）。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&lt;p&gt;2、修改订单按200元/单收取改期手续费（特殊情况请提供证明申请）。&lt;/p&gt;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&lt;p&gt;关于订单须知及退改说明&lt;/p&gt;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&lt;p&gt;1、请确认护照有效期超过半年以上，并确保护照空白页超过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&lt;p&gt;2、所预订酒店/机票最终以酒回复确认号/航司出票为准，如预订不成功则协调更换同等级酒店或调整机票出行日期，如更改方案不接受，我司于三个工作日内退回相关款项至甲方账户；&lt;/p&gt;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订行程一经确认，在酒店/活动/用车等无损取消期外取消的支付我司相应取消操作费后其余部分可进行取消退款；如在取消期内取消的，除扣除我司取消操作费外，按照第三方公司（酒店/活动/交通）取消政策执行，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&lt;p&gt;4、预定行程中包含机票的，机票一经确认后不可取消退款或更改。&lt;/p&gt;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请甲方强烈建议游客购买旅游保险，此报价除上述所含的费用明细外，不含其他保险及其它一切个人消费、交通费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
</w:t>
            </w:r>
            <w:r>
              <w:rPr>
                <w:lang w:val="zh-CN"/>
                <w:rFonts w:ascii="Times New Roman" w:hAnsi="Times New Roman" w:cs="Times New Roman"/>
                <w:sz w:val="20"/>
                <w:szCs w:val="20"/>
                <w:color w:val="000000"/>
              </w:rPr>
              <w:br/>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6月20日游轮团24+1详细行程安排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6.20住斐济，斐济专车接机入住索菲特，需航班信息。酒店自定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6.21</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早餐后专车游览文化村+沉睡巨人花园+湿婆庙+楠迪镇结束后送劳托卡码头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中文导游+景点门票+午餐+矿泉水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6.23</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苏瓦港口接斐济博物馆+总统府（外观）+教堂+南太大学（外观）不含餐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景点门票+英文导游1位+矿泉水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6.25</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专车萨摩亚阿皮亚主岛一日游RLSMuseum+文化村+国会大厦+教堂+市场不含餐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英文导游+矿泉水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6.25</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美属萨摩亚环岛一日游（两个车LOCALBUS）不含餐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中文导游司机+矿泉水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6.28</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"库克拉罗汤加半日游4H10:00-14:002车16座若珍珠市场关门，黑石滩替换+MaireNui热带花园+阿拉梅图亚古道（AraMetua）/“托伊之路”+穆里潟湖+BlackRock黑岩观景台不含餐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1位中文导游协助翻译（2辆车换乘讲解）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7.2</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茉莉雅山地探险半日游包团4x4SafariExcursion(4hours)-PRIVATETOUR不含餐，英文导游+矿泉水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7.3</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大溪地环岛一日游包团含午餐TahitiMuseum&amp;CircleIslandTour-FulldayTour主岛希尔顿自定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英文导游+操作费+水费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7.4</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专车接送机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智珍珍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苟玉婷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30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2026/4/30 20:17:41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