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邱保霖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18145152357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J-L-260722-1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单地接-2晚温德姆花园+3晚likuliku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1、邵正泽</w:t>
            </w:r>
          </w:p>
        </w:tc>
        <w:tc>
          <w:tcPr>
            <w:tcW w:w="2310" w:type="dxa"/>
            <w:vAlign w:val="center"/>
          </w:tcPr>
          <w:p>
            <w:pPr/>
            <w:r>
              <w:rPr>
                <w:lang w:val="zh-CN"/>
                <w:rFonts w:ascii="Times New Roman" w:hAnsi="Times New Roman" w:cs="Times New Roman"/>
                <w:sz w:val="20"/>
                <w:szCs w:val="20"/>
                <w:color w:val="000000"/>
              </w:rPr>
              <w:t>SHAO/ZHENGZE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2、张雨欣</w:t>
            </w:r>
          </w:p>
        </w:tc>
        <w:tc>
          <w:tcPr>
            <w:tcW w:w="2310" w:type="dxa"/>
            <w:vAlign w:val="center"/>
          </w:tcPr>
          <w:p>
            <w:pPr/>
            <w:r>
              <w:rPr>
                <w:lang w:val="zh-CN"/>
                <w:rFonts w:ascii="Times New Roman" w:hAnsi="Times New Roman" w:cs="Times New Roman"/>
                <w:sz w:val="20"/>
                <w:szCs w:val="20"/>
                <w:color w:val="000000"/>
              </w:rPr>
              <w:t>ZHANG/YUXIN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15650.00</w:t>
            </w:r>
          </w:p>
        </w:tc>
        <w:tc>
          <w:tcPr>
            <w:tcW w:w="2310" w:type="dxa"/>
          </w:tcPr>
          <w:p>
            <w:pPr/>
            <w:r>
              <w:rPr>
                <w:lang w:val="zh-CN"/>
                <w:rFonts w:ascii="Times New Roman" w:hAnsi="Times New Roman" w:cs="Times New Roman"/>
                <w:sz w:val="20"/>
                <w:szCs w:val="20"/>
                <w:color w:val="000000"/>
              </w:rPr>
              <w:t>31300.00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总金额：叁万壹仟叁佰元整</w:t>
            </w:r>
          </w:p>
        </w:tc>
        <w:tc>
          <w:tcPr>
            <w:tcW w:w="2310" w:type="dxa"/>
            <w:textDirection w:val="right"/>
            <w:gridSpan w:val="3"/>
          </w:tcPr>
          <w:p>
            <w:pPr/>
            <w:r>
              <w:rPr>
                <w:lang w:val="zh-CN"/>
                <w:rFonts w:ascii="Times New Roman" w:hAnsi="Times New Roman" w:cs="Times New Roman"/>
                <w:b/>
                <w:color w:val="FF0000"/>
              </w:rPr>
              <w:t>31300.00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7月22日入住2晚主岛温德姆花园酒店gardenroom1间含早餐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7月24日入住3晚外岛likuliku酒店DeluxeBeachfrontBure豪华海滨草屋-带泳池1间含全餐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机场-主岛酒店-码头-机场交通接驳（拼车）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丹娜绕码头往返外岛船票（不含燃油附加费，码头现付）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电话流量卡2张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酒店是否预定成功，以收到酒店回复确认号为准！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liku房费包含：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餐（根据酒店餐单点餐），茶和咖啡，客房服务和私人用餐，PureFiji洗浴产品，欢迎仪式，新鲜饼干，每天2次保洁服务；每周一次KAVA仪式，免费健身房，每晚的娱乐节目，免费WIFI，非机动水上项目包括皮划艇，双体船，站立式桨板，有向导的岛屿浮潜和浮潜设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注意likuliku餐食规则：（入住当天仅含晚餐，退房当天仅含早餐</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邱保霖</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2026/5/28 17:22:31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