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川旅旅行社团队/散客确认书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竹园</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JOJO</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18782240923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曾美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CDAX-D-250618-1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单地接-1晚希尔顿逸林+3晚matamanoa</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1、李磊</w:t>
            </w:r>
          </w:p>
        </w:tc>
        <w:tc>
          <w:tcPr>
            <w:tcW w:w="2310" w:type="dxa"/>
            <w:vAlign w:val="center"/>
          </w:tcPr>
          <w:p>
            <w:pPr/>
            <w:r>
              <w:rPr>
                <w:lang w:val="zh-CN"/>
                <w:rFonts w:ascii="Times New Roman" w:hAnsi="Times New Roman" w:cs="Times New Roman"/>
                <w:sz w:val="20"/>
                <w:szCs w:val="20"/>
                <w:color w:val="000000"/>
              </w:rPr>
              <w:t>LI/LEI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2、祝琪</w:t>
            </w:r>
          </w:p>
        </w:tc>
        <w:tc>
          <w:tcPr>
            <w:tcW w:w="2310" w:type="dxa"/>
            <w:vAlign w:val="center"/>
          </w:tcPr>
          <w:p>
            <w:pPr/>
            <w:r>
              <w:rPr>
                <w:lang w:val="zh-CN"/>
                <w:rFonts w:ascii="Times New Roman" w:hAnsi="Times New Roman" w:cs="Times New Roman"/>
                <w:sz w:val="20"/>
                <w:szCs w:val="20"/>
                <w:color w:val="000000"/>
              </w:rPr>
              <w:t>ZHU/QI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3、邱麒麟</w:t>
            </w:r>
          </w:p>
        </w:tc>
        <w:tc>
          <w:tcPr>
            <w:tcW w:w="2310" w:type="dxa"/>
            <w:vAlign w:val="center"/>
          </w:tcPr>
          <w:p>
            <w:pPr/>
            <w:r>
              <w:rPr>
                <w:lang w:val="zh-CN"/>
                <w:rFonts w:ascii="Times New Roman" w:hAnsi="Times New Roman" w:cs="Times New Roman"/>
                <w:sz w:val="20"/>
                <w:szCs w:val="20"/>
                <w:color w:val="000000"/>
              </w:rPr>
              <w:t>QIU/QILIN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4、唐雪</w:t>
            </w:r>
          </w:p>
        </w:tc>
        <w:tc>
          <w:tcPr>
            <w:tcW w:w="2310" w:type="dxa"/>
            <w:vAlign w:val="center"/>
          </w:tcPr>
          <w:p>
            <w:pPr/>
            <w:r>
              <w:rPr>
                <w:lang w:val="zh-CN"/>
                <w:rFonts w:ascii="Times New Roman" w:hAnsi="Times New Roman" w:cs="Times New Roman"/>
                <w:sz w:val="20"/>
                <w:szCs w:val="20"/>
                <w:color w:val="000000"/>
              </w:rPr>
              <w:t>TANG/XUE</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总金额：零圆整</w:t>
            </w:r>
          </w:p>
        </w:tc>
        <w:tc>
          <w:tcPr>
            <w:tcW w:w="2310" w:type="dxa"/>
            <w:textDirection w:val="right"/>
            <w:gridSpan w:val="3"/>
          </w:tcPr>
          <w:p>
            <w:pPr/>
            <w:r>
              <w:rPr>
                <w:lang w:val="zh-CN"/>
                <w:rFonts w:ascii="Times New Roman" w:hAnsi="Times New Roman" w:cs="Times New Roman"/>
                <w:b/>
                <w:color w:val="FF0000"/>
              </w:rPr>
              <w:t>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6月18日入住：希尔顿逸林OceanViewBure-King海景大床房1晚含早餐2间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6月19日入住：Matamanoa--BeachfrontPoolVilla+2晚+BeachfrontPoolBure海滨草屋（带私人泳池）1晚含全餐1间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6月19日入住：Matamanoa--BeachfrontPoolBure海滨草屋（带私人泳池）3晚含全餐1间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1、特色欢迎仪式(贝壳项链+斐济水）；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2、往返外岛船票4张；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3、外岛matamanoa度假村住宿含早餐3晚、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4、主岛皇冠假日酒店住宿及早餐3晚；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5、中文导游陆地接送服务；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6、陆地交通接驳服务；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7、每房赠送2张斐济20GB流量卡·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8、赠送30万旅游意外险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JOJO</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曾美</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6</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2025/6/11 15:02:23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