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寰宇纵横国际旅行社（山东）有限公司广州天河分公司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张瑞琪</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15588981482</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王玥莹</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18140195093</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Z-O-260805-1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汤加斐济连线7晚     汤加3晚+斐济4晚</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2026-08-05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2026-08-13</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vAlign w:val="center"/>
          </w:tcPr>
          <w:p>
            <w:pPr/>
            <w:r>
              <w:rPr>
                <w:lang w:val="zh-CN"/>
                <w:rFonts w:ascii="Times New Roman" w:hAnsi="Times New Roman" w:cs="Times New Roman"/>
                <w:sz w:val="20"/>
                <w:szCs w:val="20"/>
                <w:color w:val="000000"/>
              </w:rPr>
              <w:t>1、GAOLIANGJINGJING</w:t>
            </w:r>
          </w:p>
        </w:tc>
        <w:tc>
          <w:tcPr>
            <w:tcW w:w="2310" w:type="dxa"/>
            <w:vAlign w:val="center"/>
          </w:tcPr>
          <w:p>
            <w:pPr/>
            <w:r>
              <w:rPr>
                <w:lang w:val="zh-CN"/>
                <w:rFonts w:ascii="Times New Roman" w:hAnsi="Times New Roman" w:cs="Times New Roman"/>
                <w:sz w:val="20"/>
                <w:szCs w:val="20"/>
                <w:color w:val="000000"/>
              </w:rPr>
              <w:t>GAOLIANG/JINGJING</w:t>
            </w:r>
          </w:p>
        </w:tc>
        <w:tc>
          <w:tcPr>
            <w:tcW w:w="2310" w:type="dxa"/>
            <w:vAlign w:val="center"/>
          </w:tcPr>
          <w:p>
            <w:pPr/>
            <w:r>
              <w:rPr>
                <w:lang w:val="zh-CN"/>
                <w:rFonts w:ascii="Times New Roman" w:hAnsi="Times New Roman" w:cs="Times New Roman"/>
                <w:sz w:val="20"/>
                <w:szCs w:val="20"/>
                <w:color w:val="000000"/>
              </w:rPr>
              <w:t>女</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2、GAOYANMING</w:t>
            </w:r>
          </w:p>
        </w:tc>
        <w:tc>
          <w:tcPr>
            <w:tcW w:w="2310" w:type="dxa"/>
            <w:vAlign w:val="center"/>
          </w:tcPr>
          <w:p>
            <w:pPr/>
            <w:r>
              <w:rPr>
                <w:lang w:val="zh-CN"/>
                <w:rFonts w:ascii="Times New Roman" w:hAnsi="Times New Roman" w:cs="Times New Roman"/>
                <w:sz w:val="20"/>
                <w:szCs w:val="20"/>
                <w:color w:val="000000"/>
              </w:rPr>
              <w:t>GAO/YANMING</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3、YIYUEFENG</w:t>
            </w:r>
          </w:p>
        </w:tc>
        <w:tc>
          <w:tcPr>
            <w:tcW w:w="2310" w:type="dxa"/>
            <w:vAlign w:val="center"/>
          </w:tcPr>
          <w:p>
            <w:pPr/>
            <w:r>
              <w:rPr>
                <w:lang w:val="zh-CN"/>
                <w:rFonts w:ascii="Times New Roman" w:hAnsi="Times New Roman" w:cs="Times New Roman"/>
                <w:sz w:val="20"/>
                <w:szCs w:val="20"/>
                <w:color w:val="000000"/>
              </w:rPr>
              <w:t>YI/YUEFENG</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4、YUZETAO</w:t>
            </w:r>
          </w:p>
        </w:tc>
        <w:tc>
          <w:tcPr>
            <w:tcW w:w="2310" w:type="dxa"/>
            <w:vAlign w:val="center"/>
          </w:tcPr>
          <w:p>
            <w:pPr/>
            <w:r>
              <w:rPr>
                <w:lang w:val="zh-CN"/>
                <w:rFonts w:ascii="Times New Roman" w:hAnsi="Times New Roman" w:cs="Times New Roman"/>
                <w:sz w:val="20"/>
                <w:szCs w:val="20"/>
                <w:color w:val="000000"/>
              </w:rPr>
              <w:t>YU/ZETAO</w:t>
            </w:r>
          </w:p>
        </w:tc>
        <w:tc>
          <w:tcPr>
            <w:tcW w:w="2310" w:type="dxa"/>
            <w:vAlign w:val="center"/>
          </w:tcPr>
          <w:p>
            <w:pPr/>
            <w:r>
              <w:rPr>
                <w:lang w:val="zh-CN"/>
                <w:rFonts w:ascii="Times New Roman" w:hAnsi="Times New Roman" w:cs="Times New Roman"/>
                <w:sz w:val="20"/>
                <w:szCs w:val="20"/>
                <w:color w:val="000000"/>
              </w:rPr>
              <w:t>男</w:t>
            </w: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商务舱价格</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8900.00</w:t>
            </w:r>
          </w:p>
        </w:tc>
        <w:tc>
          <w:tcPr>
            <w:tcW w:w="2310" w:type="dxa"/>
          </w:tcPr>
          <w:p>
            <w:pPr/>
            <w:r>
              <w:rPr>
                <w:lang w:val="zh-CN"/>
                <w:rFonts w:ascii="Times New Roman" w:hAnsi="Times New Roman" w:cs="Times New Roman"/>
                <w:sz w:val="20"/>
                <w:szCs w:val="20"/>
                <w:color w:val="000000"/>
              </w:rPr>
              <w:t>35600.00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49150.00</w:t>
            </w:r>
          </w:p>
        </w:tc>
        <w:tc>
          <w:tcPr>
            <w:tcW w:w="2310" w:type="dxa"/>
          </w:tcPr>
          <w:p>
            <w:pPr/>
            <w:r>
              <w:rPr>
                <w:lang w:val="zh-CN"/>
                <w:rFonts w:ascii="Times New Roman" w:hAnsi="Times New Roman" w:cs="Times New Roman"/>
                <w:sz w:val="20"/>
                <w:szCs w:val="20"/>
                <w:color w:val="000000"/>
              </w:rPr>
              <w:t>98300.00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2</w:t>
            </w:r>
          </w:p>
        </w:tc>
        <w:tc>
          <w:tcPr>
            <w:tcW w:w="2310" w:type="dxa"/>
          </w:tcPr>
          <w:p>
            <w:pPr/>
            <w:r>
              <w:rPr>
                <w:lang w:val="zh-CN"/>
                <w:rFonts w:ascii="Times New Roman" w:hAnsi="Times New Roman" w:cs="Times New Roman"/>
                <w:sz w:val="20"/>
                <w:szCs w:val="20"/>
                <w:color w:val="000000"/>
              </w:rPr>
              <w:t>73250.00</w:t>
            </w:r>
          </w:p>
        </w:tc>
        <w:tc>
          <w:tcPr>
            <w:tcW w:w="2310" w:type="dxa"/>
          </w:tcPr>
          <w:p>
            <w:pPr/>
            <w:r>
              <w:rPr>
                <w:lang w:val="zh-CN"/>
                <w:rFonts w:ascii="Times New Roman" w:hAnsi="Times New Roman" w:cs="Times New Roman"/>
                <w:sz w:val="20"/>
                <w:szCs w:val="20"/>
                <w:color w:val="000000"/>
              </w:rPr>
              <w:t>146500.00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总金额：贰拾捌万零肆佰元整</w:t>
            </w:r>
          </w:p>
        </w:tc>
        <w:tc>
          <w:tcPr>
            <w:tcW w:w="2310" w:type="dxa"/>
            <w:textDirection w:val="right"/>
            <w:gridSpan w:val="3"/>
          </w:tcPr>
          <w:p>
            <w:pPr/>
            <w:r>
              <w:rPr>
                <w:lang w:val="zh-CN"/>
                <w:rFonts w:ascii="Times New Roman" w:hAnsi="Times New Roman" w:cs="Times New Roman"/>
                <w:b/>
                <w:color w:val="FF0000"/>
              </w:rPr>
              <w:t>280400.00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FJ213D05AUG3NANTBUHK122000105+1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FJ210D08AUG6TBUNANHK116551730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商务舱4张机票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酒店信息：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8月5日入住3晚汤加Tanoa海景大床房含早餐*3间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8月8日入住1晚斐济主岛喜来登酒店海景双床房含早餐*3间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8月9日入住2晚斐济外岛Wakaya酒店OceanViewBure含全餐*3间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8月11日入住1晚斐济主岛希尔顿酒店1BDRMdeluxebeachfront豪华海滨套房含早餐*3间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活动安排：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8月5日斐济包车楠迪日游兰花公园总统村印度庙中文导游陪同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8月6日汤加追鲸一日游含活动午餐含潜导含中文导游陪同（8人座小船）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8月7日汤加包车一日游含中文导游陪同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市区（王宫、王陵、教堂、旅游博物馆、英雄纪念碑）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郊区半日（喷潮洞、三石门、三头椰子树、库克船长登陆点、东部海岸线）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8月8日汤加文化村半日游中文导游陪同并送机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斐济中文导游接机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8月9日斐济外岛自由活动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8月10日斐济外岛自由活动外岛可预约高尔夫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8月11日返回主岛斐济文化村夜游含活动晚餐含中文导游陪同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8月12日斐济南海岛一日游含活动午餐含中文导游陪同</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张瑞琪</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王玥莹</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17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2026/7/17 18:44:24</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