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深圳市芭莎国际旅行社有限公司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13823578722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苟玉婷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19082457670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T-E-250823-1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单地接-1晚温德姆+2晚Tropica+1晚希尔顿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1、张立峰</w:t>
            </w:r>
          </w:p>
        </w:tc>
        <w:tc>
          <w:tcPr>
            <w:tcW w:w="2310" w:type="dxa"/>
            <w:vAlign w:val="center"/>
          </w:tcPr>
          <w:p>
            <w:pPr/>
            <w:r>
              <w:rPr>
                <w:lang w:val="zh-CN"/>
                <w:rFonts w:ascii="Times New Roman" w:hAnsi="Times New Roman" w:cs="Times New Roman"/>
                <w:sz w:val="20"/>
                <w:szCs w:val="20"/>
                <w:color w:val="000000"/>
              </w:rPr>
              <w:t>ZHANG/LIFENG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1979-09-06</w:t>
            </w:r>
          </w:p>
        </w:tc>
        <w:tc>
          <w:tcPr>
            <w:tcW w:w="2310" w:type="dxa"/>
            <w:vAlign w:val="center"/>
          </w:tcPr>
          <w:p>
            <w:pPr/>
            <w:r>
              <w:rPr>
                <w:lang w:val="zh-CN"/>
                <w:rFonts w:ascii="Times New Roman" w:hAnsi="Times New Roman" w:cs="Times New Roman"/>
                <w:sz w:val="20"/>
                <w:szCs w:val="20"/>
                <w:color w:val="000000"/>
              </w:rPr>
              <w:t>EK7030042</w:t>
            </w:r>
          </w:p>
        </w:tc>
        <w:tc>
          <w:tcPr>
            <w:tcW w:w="2310" w:type="dxa"/>
            <w:vAlign w:val="center"/>
          </w:tcPr>
          <w:p>
            <w:pPr/>
            <w:r>
              <w:rPr>
                <w:lang w:val="zh-CN"/>
                <w:rFonts w:ascii="Times New Roman" w:hAnsi="Times New Roman" w:cs="Times New Roman"/>
                <w:sz w:val="20"/>
                <w:szCs w:val="20"/>
                <w:color w:val="000000"/>
              </w:rPr>
              <w:t>河北</w:t>
            </w:r>
          </w:p>
        </w:tc>
        <w:tc>
          <w:tcPr>
            <w:tcW w:w="2310" w:type="dxa"/>
            <w:vAlign w:val="center"/>
          </w:tcPr>
          <w:p>
            <w:pPr/>
            <w:r>
              <w:rPr>
                <w:lang w:val="zh-CN"/>
                <w:rFonts w:ascii="Times New Roman" w:hAnsi="Times New Roman" w:cs="Times New Roman"/>
                <w:sz w:val="20"/>
                <w:szCs w:val="20"/>
                <w:color w:val="000000"/>
              </w:rPr>
              <w:t>2023-07-11</w:t>
            </w:r>
          </w:p>
        </w:tc>
        <w:tc>
          <w:tcPr>
            <w:tcW w:w="2310" w:type="dxa"/>
            <w:vAlign w:val="center"/>
          </w:tcPr>
          <w:p>
            <w:pPr/>
            <w:r>
              <w:rPr>
                <w:lang w:val="zh-CN"/>
                <w:rFonts w:ascii="Times New Roman" w:hAnsi="Times New Roman" w:cs="Times New Roman"/>
                <w:sz w:val="20"/>
                <w:szCs w:val="20"/>
                <w:color w:val="000000"/>
              </w:rPr>
              <w:t>2033-07-10</w:t>
            </w:r>
          </w:p>
        </w:tc>
      </w:tr>
      <w:tr>
        <w:tc>
          <w:tcPr>
            <w:tcW w:w="2310" w:type="dxa"/>
            <w:vAlign w:val="center"/>
          </w:tcPr>
          <w:p>
            <w:pPr/>
            <w:r>
              <w:rPr>
                <w:lang w:val="zh-CN"/>
                <w:rFonts w:ascii="Times New Roman" w:hAnsi="Times New Roman" w:cs="Times New Roman"/>
                <w:sz w:val="20"/>
                <w:szCs w:val="20"/>
                <w:color w:val="000000"/>
              </w:rPr>
              <w:t>2、辛秀</w:t>
            </w:r>
          </w:p>
        </w:tc>
        <w:tc>
          <w:tcPr>
            <w:tcW w:w="2310" w:type="dxa"/>
            <w:vAlign w:val="center"/>
          </w:tcPr>
          <w:p>
            <w:pPr/>
            <w:r>
              <w:rPr>
                <w:lang w:val="zh-CN"/>
                <w:rFonts w:ascii="Times New Roman" w:hAnsi="Times New Roman" w:cs="Times New Roman"/>
                <w:sz w:val="20"/>
                <w:szCs w:val="20"/>
                <w:color w:val="000000"/>
              </w:rPr>
              <w:t>XIN/XIU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1980-09-16</w:t>
            </w:r>
          </w:p>
        </w:tc>
        <w:tc>
          <w:tcPr>
            <w:tcW w:w="2310" w:type="dxa"/>
            <w:vAlign w:val="center"/>
          </w:tcPr>
          <w:p>
            <w:pPr/>
            <w:r>
              <w:rPr>
                <w:lang w:val="zh-CN"/>
                <w:rFonts w:ascii="Times New Roman" w:hAnsi="Times New Roman" w:cs="Times New Roman"/>
                <w:sz w:val="20"/>
                <w:szCs w:val="20"/>
                <w:color w:val="000000"/>
              </w:rPr>
              <w:t>EF6432295</w:t>
            </w:r>
          </w:p>
        </w:tc>
        <w:tc>
          <w:tcPr>
            <w:tcW w:w="2310" w:type="dxa"/>
            <w:vAlign w:val="center"/>
          </w:tcPr>
          <w:p>
            <w:pPr/>
            <w:r>
              <w:rPr>
                <w:lang w:val="zh-CN"/>
                <w:rFonts w:ascii="Times New Roman" w:hAnsi="Times New Roman" w:cs="Times New Roman"/>
                <w:sz w:val="20"/>
                <w:szCs w:val="20"/>
                <w:color w:val="000000"/>
              </w:rPr>
              <w:t>河北</w:t>
            </w:r>
          </w:p>
        </w:tc>
        <w:tc>
          <w:tcPr>
            <w:tcW w:w="2310" w:type="dxa"/>
            <w:vAlign w:val="center"/>
          </w:tcPr>
          <w:p>
            <w:pPr/>
            <w:r>
              <w:rPr>
                <w:lang w:val="zh-CN"/>
                <w:rFonts w:ascii="Times New Roman" w:hAnsi="Times New Roman" w:cs="Times New Roman"/>
                <w:sz w:val="20"/>
                <w:szCs w:val="20"/>
                <w:color w:val="000000"/>
              </w:rPr>
              <w:t>2019-03-06</w:t>
            </w:r>
          </w:p>
        </w:tc>
        <w:tc>
          <w:tcPr>
            <w:tcW w:w="2310" w:type="dxa"/>
            <w:vAlign w:val="center"/>
          </w:tcPr>
          <w:p>
            <w:pPr/>
            <w:r>
              <w:rPr>
                <w:lang w:val="zh-CN"/>
                <w:rFonts w:ascii="Times New Roman" w:hAnsi="Times New Roman" w:cs="Times New Roman"/>
                <w:sz w:val="20"/>
                <w:szCs w:val="20"/>
                <w:color w:val="000000"/>
              </w:rPr>
              <w:t>2029-03-05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6800.00</w:t>
            </w:r>
          </w:p>
        </w:tc>
        <w:tc>
          <w:tcPr>
            <w:tcW w:w="2310" w:type="dxa"/>
          </w:tcPr>
          <w:p>
            <w:pPr/>
            <w:r>
              <w:rPr>
                <w:lang w:val="zh-CN"/>
                <w:rFonts w:ascii="Times New Roman" w:hAnsi="Times New Roman" w:cs="Times New Roman"/>
                <w:sz w:val="20"/>
                <w:szCs w:val="20"/>
                <w:color w:val="000000"/>
              </w:rPr>
              <w:t>13600.00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总金额：壹万叁仟陆佰元整</w:t>
            </w:r>
          </w:p>
        </w:tc>
        <w:tc>
          <w:tcPr>
            <w:tcW w:w="2310" w:type="dxa"/>
            <w:textDirection w:val="right"/>
            <w:gridSpan w:val="3"/>
          </w:tcPr>
          <w:p>
            <w:pPr/>
            <w:r>
              <w:rPr>
                <w:lang w:val="zh-CN"/>
                <w:rFonts w:ascii="Times New Roman" w:hAnsi="Times New Roman" w:cs="Times New Roman"/>
                <w:b/>
                <w:color w:val="FF0000"/>
              </w:rPr>
              <w:t>13600.00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0823入住1晚主岛温德姆花园酒店GardenKingRoom花园大床房，1间含早餐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0824入住2晚外岛Tropica-SanctuaryPoolSuite泳池套房，1间含早餐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0826入住1晚主岛希尔顿酒店1BDRMgardenview花园景套房（带厨房和洗衣机），1间含早餐（实时房态，不退不改，落实前二次核价）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4晚酒店住宿及餐食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酒店-码头-酒店-机场接送服务（拼车）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中文导游1段接机服务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赠送2张当地流量卡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Tropica:抵达时欢迎饮料和冰毛巾，公共区域免费Wifi，10分钟泡脚体验，非机动水上活动（SUPs,皮划艇，浮潜装备），文化活动，晚间娱乐活动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酒店退改政策：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Tropica:提前30天以上取消,不收取费用；30天及以内取消，收取订单的100%作为取消费；NoShow收取订单的100%作为取消费。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温德姆花园：提前30天以上取消不收取费用；30-15天以内取消，收取一晚作为取消费；14天及以内取消，收取订单的100%作为取消费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希尔顿：一经预定不退不改！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苟玉婷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2025/8/5 18:59:01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