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吕梁世达旅游有限公司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高建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18716360511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13719371581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RCL06YL260116A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【华南自营】皇家加勒比游轮【海洋光谱号】香港-公海-香港 3天2晚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无遮挡阳双</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1699.00</w:t>
            </w:r>
          </w:p>
        </w:tc>
        <w:tc>
          <w:tcPr>
            <w:tcW w:w="2310" w:type="dxa"/>
          </w:tcPr>
          <w:p>
            <w:pPr/>
            <w:r>
              <w:rPr>
                <w:lang w:val="zh-CN"/>
                <w:rFonts w:ascii="Times New Roman" w:hAnsi="Times New Roman" w:cs="Times New Roman"/>
                <w:sz w:val="20"/>
                <w:szCs w:val="20"/>
                <w:color w:val="000000"/>
              </w:rPr>
              <w:t>3398.00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总金额：叁仟叁佰玖拾捌元整</w:t>
            </w:r>
          </w:p>
        </w:tc>
        <w:tc>
          <w:tcPr>
            <w:tcW w:w="2310" w:type="dxa"/>
            <w:textDirection w:val="right"/>
            <w:gridSpan w:val="3"/>
          </w:tcPr>
          <w:p>
            <w:pPr/>
            <w:r>
              <w:rPr>
                <w:lang w:val="zh-CN"/>
                <w:rFonts w:ascii="Times New Roman" w:hAnsi="Times New Roman" w:cs="Times New Roman"/>
                <w:b/>
                <w:color w:val="FF0000"/>
              </w:rPr>
              <w:t>3398.00</w:t>
            </w:r>
          </w:p>
        </w:tc>
      </w:tr>
      <w:tr>
        <w:tc>
          <w:tcPr>
            <w:tcW w:w="2310" w:type="dxa"/>
            <w:gridSpan w:val="8"/>
          </w:tcPr>
          <w:p>
            <w:pPr/>
            <w:r>
              <w:rPr>
                <w:lang w:val="zh-CN"/>
                <w:rFonts w:ascii="Times New Roman" w:hAnsi="Times New Roman" w:cs="Times New Roman"/>
                <w:sz w:val="20"/>
                <w:szCs w:val="20"/>
                <w:color w:val="000000"/>
              </w:rPr>
              <w:t xml:space="preserve">1月16日 【海洋光谱号】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香港-公海-香港 3天2晚</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xml:space="preserve">阳台双人间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宋文涛（一人住一间）</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高建</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2026/1/12 19:05:11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