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深圳悦海国际旅行社有限公司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邹邹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MDI09YL260311B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自营【爱达地中海】广州-芽庄-沙巴-文莱-广州 9天8晚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舒适海景双人舱</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4415.00</w:t>
            </w:r>
          </w:p>
        </w:tc>
        <w:tc>
          <w:tcPr>
            <w:tcW w:w="2310" w:type="dxa"/>
          </w:tcPr>
          <w:p>
            <w:pPr/>
            <w:r>
              <w:rPr>
                <w:lang w:val="zh-CN"/>
                <w:rFonts w:ascii="Times New Roman" w:hAnsi="Times New Roman" w:cs="Times New Roman"/>
                <w:sz w:val="20"/>
                <w:szCs w:val="20"/>
                <w:color w:val="000000"/>
              </w:rPr>
              <w:t>8830.00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优惠</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-50.00</w:t>
            </w:r>
          </w:p>
        </w:tc>
        <w:tc>
          <w:tcPr>
            <w:tcW w:w="2310" w:type="dxa"/>
          </w:tcPr>
          <w:p>
            <w:pPr/>
            <w:r>
              <w:rPr>
                <w:lang w:val="zh-CN"/>
                <w:rFonts w:ascii="Times New Roman" w:hAnsi="Times New Roman" w:cs="Times New Roman"/>
                <w:sz w:val="20"/>
                <w:szCs w:val="20"/>
                <w:color w:val="000000"/>
              </w:rPr>
              <w:t>-100.00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总金额：捌仟柒佰叁拾元整</w:t>
            </w:r>
          </w:p>
        </w:tc>
        <w:tc>
          <w:tcPr>
            <w:tcW w:w="2310" w:type="dxa"/>
            <w:textDirection w:val="right"/>
            <w:gridSpan w:val="3"/>
          </w:tcPr>
          <w:p>
            <w:pPr/>
            <w:r>
              <w:rPr>
                <w:lang w:val="zh-CN"/>
                <w:rFonts w:ascii="Times New Roman" w:hAnsi="Times New Roman" w:cs="Times New Roman"/>
                <w:b/>
                <w:color w:val="FF0000"/>
              </w:rPr>
              <w:t>8730.00</w:t>
            </w:r>
          </w:p>
        </w:tc>
      </w:tr>
      <w:tr>
        <w:tc>
          <w:tcPr>
            <w:tcW w:w="2310" w:type="dxa"/>
            <w:gridSpan w:val="8"/>
          </w:tcPr>
          <w:p>
            <w:pPr/>
            <w:r>
              <w:rPr>
                <w:lang w:val="zh-CN"/>
                <w:rFonts w:ascii="Times New Roman" w:hAnsi="Times New Roman" w:cs="Times New Roman"/>
                <w:sz w:val="20"/>
                <w:szCs w:val="20"/>
                <w:color w:val="000000"/>
              </w:rPr>
              <w:t>【自由行】</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0311 爱达海景双人房EP</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苗生春</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511122195004110192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苗绘</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511102197803110029</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邹邹</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2026/1/29 7:48:35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