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天津市鹏越国际旅行社有限公司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贾晓娟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15120034529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MDI06YL250103B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（外采）爱达邮轮【地中海号】广州-宫古岛-冲绳-广州 6 天 5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IC标准内舱四人房 2574</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2111.00</w:t>
            </w:r>
          </w:p>
        </w:tc>
        <w:tc>
          <w:tcPr>
            <w:tcW w:w="2310" w:type="dxa"/>
          </w:tcPr>
          <w:p>
            <w:pPr/>
            <w:r>
              <w:rPr>
                <w:lang w:val="zh-CN"/>
                <w:rFonts w:ascii="Times New Roman" w:hAnsi="Times New Roman" w:cs="Times New Roman"/>
                <w:sz w:val="20"/>
                <w:szCs w:val="20"/>
                <w:color w:val="000000"/>
              </w:rPr>
              <w:t>8444.00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总金额：捌仟肆佰肆拾肆元整</w:t>
            </w:r>
          </w:p>
        </w:tc>
        <w:tc>
          <w:tcPr>
            <w:tcW w:w="2310" w:type="dxa"/>
            <w:textDirection w:val="right"/>
            <w:gridSpan w:val="3"/>
          </w:tcPr>
          <w:p>
            <w:pPr/>
            <w:r>
              <w:rPr>
                <w:lang w:val="zh-CN"/>
                <w:rFonts w:ascii="Times New Roman" w:hAnsi="Times New Roman" w:cs="Times New Roman"/>
                <w:b/>
                <w:color w:val="FF0000"/>
              </w:rPr>
              <w:t>8444.00</w:t>
            </w:r>
          </w:p>
        </w:tc>
      </w:tr>
      <w:tr>
        <w:tc>
          <w:tcPr>
            <w:tcW w:w="2310" w:type="dxa"/>
            <w:gridSpan w:val="8"/>
          </w:tcPr>
          <w:p>
            <w:pPr/>
            <w:r>
              <w:rPr>
                <w:lang w:val="zh-CN"/>
                <w:rFonts w:ascii="Times New Roman" w:hAnsi="Times New Roman" w:cs="Times New Roman"/>
                <w:sz w:val="20"/>
                <w:szCs w:val="20"/>
                <w:color w:val="000000"/>
              </w:rPr>
              <w:t xml:space="preserve">103    IC 内四  麦肖霞、王健持、王海、王鹰 </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贾晓娟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2024/12/13 13:28:48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