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华人国际旅行社有限公司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月莲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13710813701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MSC05YL250817A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【自组】MSC地中海邮轮【荣耀号】上海-济州-佐世保-上海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7(7大)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内双</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2799.00</w:t>
            </w:r>
          </w:p>
        </w:tc>
        <w:tc>
          <w:tcPr>
            <w:tcW w:w="2310" w:type="dxa"/>
          </w:tcPr>
          <w:p>
            <w:pPr/>
            <w:r>
              <w:rPr>
                <w:lang w:val="zh-CN"/>
                <w:rFonts w:ascii="Times New Roman" w:hAnsi="Times New Roman" w:cs="Times New Roman"/>
                <w:sz w:val="20"/>
                <w:szCs w:val="20"/>
                <w:color w:val="000000"/>
              </w:rPr>
              <w:t>19593.00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总金额：壹万玖仟伍佰玖拾叁元整</w:t>
            </w:r>
          </w:p>
        </w:tc>
        <w:tc>
          <w:tcPr>
            <w:tcW w:w="2310" w:type="dxa"/>
            <w:textDirection w:val="right"/>
            <w:gridSpan w:val="3"/>
          </w:tcPr>
          <w:p>
            <w:pPr/>
            <w:r>
              <w:rPr>
                <w:lang w:val="zh-CN"/>
                <w:rFonts w:ascii="Times New Roman" w:hAnsi="Times New Roman" w:cs="Times New Roman"/>
                <w:b/>
                <w:color w:val="FF0000"/>
              </w:rPr>
              <w:t>19593.00</w:t>
            </w:r>
          </w:p>
        </w:tc>
      </w:tr>
      <w:tr>
        <w:tc>
          <w:tcPr>
            <w:tcW w:w="2310" w:type="dxa"/>
            <w:gridSpan w:val="8"/>
          </w:tcPr>
          <w:p>
            <w:pPr/>
            <w:r>
              <w:rPr>
                <w:lang w:val="zh-CN"/>
                <w:rFonts w:ascii="Times New Roman" w:hAnsi="Times New Roman" w:cs="Times New Roman"/>
                <w:sz w:val="20"/>
                <w:szCs w:val="20"/>
                <w:color w:val="000000"/>
              </w:rPr>
              <w:t xml:space="preserve"> 08月17日 【荣耀号】</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上海-济州-佐世保-上海 5天4晚</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随机内舱双人间IR 2799/人结算（跟团）</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3.5间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李佳 王莲芝 赵芳 李悠然 王玉豆 朱宇翔 朱炜</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朱炜、朱宇翔一间。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王玉豆、王莲芝一间，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赵芳、李悠然一间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李佳拼房</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月莲</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2025/6/20 10:14:06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