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云游飞扬团队/散客确认书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宝中旅游顾问</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凌永佳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13808092729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成都环球国际旅行社有限公司成华九分社</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田婷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17308032853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BHY053U230904A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王牌涠洲5日游2岛升级大船（早对早）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2023-09-04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2023-09-08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2023-09-04 3U6753 成都天府T2→北海福成 08:05-10:10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2023-09-08 3U6754 北海福成→成都天府T2 10:55-12:5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1、段雪儿</w:t>
            </w:r>
          </w:p>
        </w:tc>
        <w:tc>
          <w:tcPr>
            <w:tcW w:w="2310" w:type="dxa"/>
            <w:vAlign w:val="center"/>
            <w:gridSpan w:val="2"/>
          </w:tcPr>
          <w:p>
            <w:pPr/>
            <w:r>
              <w:rPr>
                <w:lang w:val="zh-CN"/>
                <w:rFonts w:ascii="Times New Roman" w:hAnsi="Times New Roman" w:cs="Times New Roman"/>
                <w:sz w:val="20"/>
                <w:szCs w:val="20"/>
                <w:color w:val="000000"/>
              </w:rPr>
              <w:t>510121199906107241</w:t>
            </w:r>
          </w:p>
        </w:tc>
        <w:tc>
          <w:tcPr>
            <w:tcW w:w="2310" w:type="dxa"/>
            <w:vAlign w:val="center"/>
          </w:tcPr>
          <w:p>
            <w:pPr/>
            <w:r>
              <w:rPr>
                <w:lang w:val="zh-CN"/>
                <w:rFonts w:ascii="Times New Roman" w:hAnsi="Times New Roman" w:cs="Times New Roman"/>
                <w:sz w:val="20"/>
                <w:szCs w:val="20"/>
                <w:color w:val="000000"/>
              </w:rPr>
              <w:t>19983396638</w:t>
            </w:r>
          </w:p>
        </w:tc>
        <w:tc>
          <w:tcPr>
            <w:tcW w:w="2310" w:type="dxa"/>
            <w:vAlign w:val="center"/>
          </w:tcPr>
          <w:p>
            <w:pPr/>
            <w:r>
              <w:rPr>
                <w:lang w:val="zh-CN"/>
                <w:rFonts w:ascii="Times New Roman" w:hAnsi="Times New Roman" w:cs="Times New Roman"/>
                <w:sz w:val="20"/>
                <w:szCs w:val="20"/>
                <w:color w:val="000000"/>
              </w:rPr>
              <w:t>2、邓魏</w:t>
            </w:r>
          </w:p>
        </w:tc>
        <w:tc>
          <w:tcPr>
            <w:tcW w:w="2310" w:type="dxa"/>
            <w:vAlign w:val="center"/>
            <w:gridSpan w:val="2"/>
          </w:tcPr>
          <w:p>
            <w:pPr/>
            <w:r>
              <w:rPr>
                <w:lang w:val="zh-CN"/>
                <w:rFonts w:ascii="Times New Roman" w:hAnsi="Times New Roman" w:cs="Times New Roman"/>
                <w:sz w:val="20"/>
                <w:szCs w:val="20"/>
                <w:color w:val="000000"/>
              </w:rPr>
              <w:t>513901199112254515</w:t>
            </w:r>
          </w:p>
        </w:tc>
        <w:tc>
          <w:tcPr>
            <w:tcW w:w="2310" w:type="dxa"/>
            <w:vAlign w:val="center"/>
          </w:tcPr>
          <w:p>
            <w:pPr/>
            <w:r>
              <w:rPr>
                <w:lang w:val="zh-CN"/>
                <w:rFonts w:ascii="Times New Roman" w:hAnsi="Times New Roman" w:cs="Times New Roman"/>
                <w:sz w:val="20"/>
                <w:szCs w:val="20"/>
                <w:color w:val="000000"/>
              </w:rPr>
              <w:t>18980888123</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2000.00</w:t>
            </w:r>
          </w:p>
        </w:tc>
        <w:tc>
          <w:tcPr>
            <w:tcW w:w="2310" w:type="dxa"/>
          </w:tcPr>
          <w:p>
            <w:pPr/>
            <w:r>
              <w:rPr>
                <w:lang w:val="zh-CN"/>
                <w:rFonts w:ascii="Times New Roman" w:hAnsi="Times New Roman" w:cs="Times New Roman"/>
                <w:sz w:val="20"/>
                <w:szCs w:val="20"/>
                <w:color w:val="000000"/>
              </w:rPr>
              <w:t>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总金额：肆仟元整</w:t>
            </w:r>
          </w:p>
        </w:tc>
        <w:tc>
          <w:tcPr>
            <w:tcW w:w="2310" w:type="dxa"/>
            <w:textDirection w:val="right"/>
            <w:gridSpan w:val="3"/>
          </w:tcPr>
          <w:p>
            <w:pPr/>
            <w:r>
              <w:rPr>
                <w:lang w:val="zh-CN"/>
                <w:rFonts w:ascii="Times New Roman" w:hAnsi="Times New Roman" w:cs="Times New Roman"/>
                <w:b/>
                <w:color w:val="FF0000"/>
              </w:rPr>
              <w:t>4000.00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中国建设银行-成都双庆路支行</w:t>
            </w:r>
          </w:p>
        </w:tc>
        <w:tc>
          <w:tcPr>
            <w:tcW w:w="2310" w:type="dxa"/>
            <w:gridSpan w:val="2"/>
          </w:tcPr>
          <w:p>
            <w:pPr/>
            <w:r>
              <w:rPr>
                <w:lang w:val="zh-CN"/>
                <w:rFonts w:ascii="Times New Roman" w:hAnsi="Times New Roman" w:cs="Times New Roman"/>
                <w:sz w:val="20"/>
                <w:szCs w:val="20"/>
                <w:color w:val="000000"/>
              </w:rPr>
              <w:t>成都环球国际旅行社有限公司成华九分社</w:t>
            </w:r>
          </w:p>
        </w:tc>
        <w:tc>
          <w:tcPr>
            <w:tcW w:w="2310" w:type="dxa"/>
            <w:gridSpan w:val="3"/>
          </w:tcPr>
          <w:p>
            <w:pPr/>
            <w:r>
              <w:rPr>
                <w:lang w:val="zh-CN"/>
                <w:rFonts w:ascii="Times New Roman" w:hAnsi="Times New Roman" w:cs="Times New Roman"/>
                <w:sz w:val="20"/>
                <w:szCs w:val="20"/>
                <w:color w:val="000000"/>
              </w:rPr>
              <w:t>51050146686100000088</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付杨</w:t>
            </w:r>
          </w:p>
        </w:tc>
        <w:tc>
          <w:tcPr>
            <w:tcW w:w="2310" w:type="dxa"/>
            <w:gridSpan w:val="3"/>
          </w:tcPr>
          <w:p>
            <w:pPr/>
            <w:r>
              <w:rPr>
                <w:lang w:val="zh-CN"/>
                <w:rFonts w:ascii="Times New Roman" w:hAnsi="Times New Roman" w:cs="Times New Roman"/>
                <w:sz w:val="20"/>
                <w:szCs w:val="20"/>
                <w:color w:val="000000"/>
              </w:rPr>
              <w:t>6217 0038 1005 9893 548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付杨</w:t>
            </w:r>
          </w:p>
        </w:tc>
        <w:tc>
          <w:tcPr>
            <w:tcW w:w="2310" w:type="dxa"/>
            <w:gridSpan w:val="3"/>
          </w:tcPr>
          <w:p>
            <w:pPr/>
            <w:r>
              <w:rPr>
                <w:lang w:val="zh-CN"/>
                <w:rFonts w:ascii="Times New Roman" w:hAnsi="Times New Roman" w:cs="Times New Roman"/>
                <w:sz w:val="20"/>
                <w:szCs w:val="20"/>
                <w:color w:val="000000"/>
              </w:rPr>
              <w:t>6228480469765004871</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付杨</w:t>
            </w:r>
          </w:p>
        </w:tc>
        <w:tc>
          <w:tcPr>
            <w:tcW w:w="2310" w:type="dxa"/>
            <w:gridSpan w:val="3"/>
          </w:tcPr>
          <w:p>
            <w:pPr/>
            <w:r>
              <w:rPr>
                <w:lang w:val="zh-CN"/>
                <w:rFonts w:ascii="Times New Roman" w:hAnsi="Times New Roman" w:cs="Times New Roman"/>
                <w:sz w:val="20"/>
                <w:szCs w:val="20"/>
                <w:color w:val="000000"/>
              </w:rPr>
              <w:t>6221 5323 2000 5903 104</w:t>
            </w:r>
          </w:p>
        </w:tc>
      </w:tr>
      <w:tr>
        <w:tc>
          <w:tcPr>
            <w:tcW w:w="2310" w:type="dxa"/>
            <w:gridSpan w:val="3"/>
          </w:tcPr>
          <w:p>
            <w:pPr/>
            <w:r>
              <w:rPr>
                <w:lang w:val="zh-CN"/>
                <w:rFonts w:ascii="Times New Roman" w:hAnsi="Times New Roman" w:cs="Times New Roman"/>
                <w:sz w:val="20"/>
                <w:szCs w:val="20"/>
                <w:color w:val="000000"/>
              </w:rPr>
              <w:t>飞扬假期-支付宝</w:t>
            </w:r>
          </w:p>
        </w:tc>
        <w:tc>
          <w:tcPr>
            <w:tcW w:w="2310" w:type="dxa"/>
            <w:gridSpan w:val="2"/>
          </w:tcPr>
          <w:p>
            <w:pPr/>
            <w:r>
              <w:rPr>
                <w:lang w:val="zh-CN"/>
                <w:rFonts w:ascii="Times New Roman" w:hAnsi="Times New Roman" w:cs="Times New Roman"/>
                <w:sz w:val="20"/>
                <w:szCs w:val="20"/>
                <w:color w:val="000000"/>
              </w:rPr>
              <w:t>付杨</w:t>
            </w:r>
          </w:p>
        </w:tc>
        <w:tc>
          <w:tcPr>
            <w:tcW w:w="2310" w:type="dxa"/>
            <w:gridSpan w:val="3"/>
          </w:tcPr>
          <w:p>
            <w:pPr/>
            <w:r>
              <w:rPr>
                <w:lang w:val="zh-CN"/>
                <w:rFonts w:ascii="Times New Roman" w:hAnsi="Times New Roman" w:cs="Times New Roman"/>
                <w:sz w:val="20"/>
                <w:szCs w:val="20"/>
                <w:color w:val="000000"/>
              </w:rPr>
              <w:t>17308051019</w:t>
            </w:r>
          </w:p>
        </w:tc>
      </w:tr>
      <w:tr>
        <w:tc>
          <w:tcPr>
            <w:tcW w:w="2310" w:type="dxa"/>
            <w:gridSpan w:val="3"/>
          </w:tcPr>
          <w:p>
            <w:pPr/>
            <w:r>
              <w:rPr>
                <w:lang w:val="zh-CN"/>
                <w:rFonts w:ascii="Times New Roman" w:hAnsi="Times New Roman" w:cs="Times New Roman"/>
                <w:sz w:val="20"/>
                <w:szCs w:val="20"/>
                <w:color w:val="000000"/>
              </w:rPr>
              <w:t>成都银行（包机）</w:t>
            </w:r>
          </w:p>
        </w:tc>
        <w:tc>
          <w:tcPr>
            <w:tcW w:w="2310" w:type="dxa"/>
            <w:gridSpan w:val="2"/>
          </w:tcPr>
          <w:p>
            <w:pPr/>
            <w:r>
              <w:rPr>
                <w:lang w:val="zh-CN"/>
                <w:rFonts w:ascii="Times New Roman" w:hAnsi="Times New Roman" w:cs="Times New Roman"/>
                <w:sz w:val="20"/>
                <w:szCs w:val="20"/>
                <w:color w:val="000000"/>
              </w:rPr>
              <w:t>付杨</w:t>
            </w:r>
          </w:p>
        </w:tc>
        <w:tc>
          <w:tcPr>
            <w:tcW w:w="2310" w:type="dxa"/>
            <w:gridSpan w:val="3"/>
          </w:tcPr>
          <w:p>
            <w:pPr/>
            <w:r>
              <w:rPr>
                <w:lang w:val="zh-CN"/>
                <w:rFonts w:ascii="Times New Roman" w:hAnsi="Times New Roman" w:cs="Times New Roman"/>
                <w:sz w:val="20"/>
                <w:szCs w:val="20"/>
                <w:color w:val="000000"/>
              </w:rPr>
              <w:t>6221532320015206449</w:t>
            </w:r>
          </w:p>
        </w:tc>
      </w:tr>
      <w:tr>
        <w:tc>
          <w:tcPr>
            <w:tcW w:w="2310" w:type="dxa"/>
            <w:gridSpan w:val="3"/>
          </w:tcPr>
          <w:p>
            <w:pPr/>
            <w:r>
              <w:rPr>
                <w:lang w:val="zh-CN"/>
                <w:rFonts w:ascii="Times New Roman" w:hAnsi="Times New Roman" w:cs="Times New Roman"/>
                <w:sz w:val="20"/>
                <w:szCs w:val="20"/>
                <w:color w:val="000000"/>
              </w:rPr>
              <w:t>建行收款码（飞扬假期）</w:t>
            </w:r>
          </w:p>
        </w:tc>
        <w:tc>
          <w:tcPr>
            <w:tcW w:w="2310" w:type="dxa"/>
            <w:gridSpan w:val="2"/>
          </w:tcPr>
          <w:p>
            <w:pPr/>
            <w:r>
              <w:rPr>
                <w:lang w:val="zh-CN"/>
                <w:rFonts w:ascii="Times New Roman" w:hAnsi="Times New Roman" w:cs="Times New Roman"/>
                <w:sz w:val="20"/>
                <w:szCs w:val="20"/>
                <w:color w:val="000000"/>
              </w:rPr>
              <w:t>建行收款码</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农行收款码（简阳市三星镇付杨农副品经营部）</w:t>
            </w:r>
          </w:p>
        </w:tc>
        <w:tc>
          <w:tcPr>
            <w:tcW w:w="2310" w:type="dxa"/>
            <w:gridSpan w:val="2"/>
          </w:tcPr>
          <w:p>
            <w:pPr/>
            <w:r>
              <w:rPr>
                <w:lang w:val="zh-CN"/>
                <w:rFonts w:ascii="Times New Roman" w:hAnsi="Times New Roman" w:cs="Times New Roman"/>
                <w:sz w:val="20"/>
                <w:szCs w:val="20"/>
                <w:color w:val="000000"/>
              </w:rPr>
              <w:t>农行收款码</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市青平台</w:t>
            </w:r>
          </w:p>
        </w:tc>
        <w:tc>
          <w:tcPr>
            <w:tcW w:w="2310" w:type="dxa"/>
            <w:gridSpan w:val="2"/>
          </w:tcPr>
          <w:p>
            <w:pPr/>
            <w:r>
              <w:rPr>
                <w:lang w:val="zh-CN"/>
                <w:rFonts w:ascii="Times New Roman" w:hAnsi="Times New Roman" w:cs="Times New Roman"/>
                <w:sz w:val="20"/>
                <w:szCs w:val="20"/>
                <w:color w:val="000000"/>
              </w:rPr>
              <w:t>市青平台</w:t>
            </w:r>
          </w:p>
        </w:tc>
        <w:tc>
          <w:tcPr>
            <w:tcW w:w="2310" w:type="dxa"/>
            <w:gridSpan w:val="3"/>
          </w:tcPr>
          <w:p>
            <w:pPr/>
            <w:r>
              <w:rPr>
                <w:lang w:val="zh-CN"/>
                <w:rFonts w:ascii="Times New Roman" w:hAnsi="Times New Roman" w:cs="Times New Roman"/>
                <w:sz w:val="20"/>
                <w:szCs w:val="20"/>
                <w:color w:val="000000"/>
              </w:rPr>
              <w:t>市青平台款</w:t>
            </w:r>
          </w:p>
        </w:tc>
      </w:tr>
      <w:tr>
        <w:tc>
          <w:tcPr>
            <w:tcW w:w="2310" w:type="dxa"/>
            <w:gridSpan w:val="3"/>
          </w:tcPr>
          <w:p>
            <w:pPr/>
            <w:r>
              <w:rPr>
                <w:lang w:val="zh-CN"/>
                <w:rFonts w:ascii="Times New Roman" w:hAnsi="Times New Roman" w:cs="Times New Roman"/>
                <w:sz w:val="20"/>
                <w:szCs w:val="20"/>
                <w:color w:val="000000"/>
              </w:rPr>
              <w:t>旅游家族代上系统款</w:t>
            </w:r>
          </w:p>
        </w:tc>
        <w:tc>
          <w:tcPr>
            <w:tcW w:w="2310" w:type="dxa"/>
            <w:gridSpan w:val="2"/>
          </w:tcPr>
          <w:p>
            <w:pPr/>
            <w:r>
              <w:rPr>
                <w:lang w:val="zh-CN"/>
                <w:rFonts w:ascii="Times New Roman" w:hAnsi="Times New Roman" w:cs="Times New Roman"/>
                <w:sz w:val="20"/>
                <w:szCs w:val="20"/>
                <w:color w:val="000000"/>
              </w:rPr>
              <w:t>旅游家族代上系统款</w:t>
            </w:r>
          </w:p>
        </w:tc>
        <w:tc>
          <w:tcPr>
            <w:tcW w:w="2310" w:type="dxa"/>
            <w:gridSpan w:val="3"/>
          </w:tcPr>
          <w:p>
            <w:pPr/>
            <w:r>
              <w:rPr>
                <w:lang w:val="zh-CN"/>
                <w:rFonts w:ascii="Times New Roman" w:hAnsi="Times New Roman" w:cs="Times New Roman"/>
                <w:sz w:val="20"/>
                <w:szCs w:val="20"/>
                <w:color w:val="000000"/>
              </w:rPr>
              <w:t>旅游家族代上系统款</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2023/09/04</w:t>
            </w:r>
          </w:p>
        </w:tc>
        <w:tc>
          <w:tcPr>
            <w:tcW w:w="2310" w:type="dxa"/>
            <w:gridSpan w:val="7"/>
          </w:tcPr>
          <w:p>
            <w:pPr/>
            <w:r>
              <w:rPr>
                <w:lang w:val="zh-CN"/>
                <w:rFonts w:ascii="Times New Roman" w:hAnsi="Times New Roman" w:cs="Times New Roman"/>
                <w:b/>
                <w:color w:val="000000"/>
              </w:rPr>
              <w:t xml:space="preserve"> 出发地—北海福成机场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温馨的家-北海观老榕树-南珠魂-百年老街-（流下村或北海圣托里尼）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早餐：无；午餐：含；晚餐：无；住宿：北海</w:t>
            </w:r>
          </w:p>
        </w:tc>
      </w:tr>
      <w:tr>
        <w:tc>
          <w:tcPr>
            <w:tcW w:w="2310" w:type="dxa"/>
            <w:vAlign w:val="center"/>
            <w:vMerge w:val="restart"/>
          </w:tcPr>
          <w:p>
            <w:pPr/>
            <w:r>
              <w:rPr>
                <w:lang w:val="zh-CN"/>
                <w:rFonts w:ascii="Times New Roman" w:hAnsi="Times New Roman" w:cs="Times New Roman"/>
                <w:sz w:val="20"/>
                <w:szCs w:val="20"/>
                <w:color w:val="000000"/>
              </w:rPr>
              <w:t>2023/09/05</w:t>
            </w:r>
          </w:p>
        </w:tc>
        <w:tc>
          <w:tcPr>
            <w:tcW w:w="2310" w:type="dxa"/>
            <w:gridSpan w:val="7"/>
          </w:tcPr>
          <w:p>
            <w:pPr/>
            <w:r>
              <w:rPr>
                <w:lang w:val="zh-CN"/>
                <w:rFonts w:ascii="Times New Roman" w:hAnsi="Times New Roman" w:cs="Times New Roman"/>
                <w:b/>
                <w:color w:val="000000"/>
              </w:rPr>
              <w:t>北海一涠洲岛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银滩-可参加特殊项目活动-涠洲岛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早餐：含；午餐：无；晚餐：无；住宿：涠洲岛</w:t>
            </w:r>
          </w:p>
        </w:tc>
      </w:tr>
      <w:tr>
        <w:tc>
          <w:tcPr>
            <w:tcW w:w="2310" w:type="dxa"/>
            <w:vAlign w:val="center"/>
            <w:vMerge w:val="restart"/>
          </w:tcPr>
          <w:p>
            <w:pPr/>
            <w:r>
              <w:rPr>
                <w:lang w:val="zh-CN"/>
                <w:rFonts w:ascii="Times New Roman" w:hAnsi="Times New Roman" w:cs="Times New Roman"/>
                <w:sz w:val="20"/>
                <w:szCs w:val="20"/>
                <w:color w:val="000000"/>
              </w:rPr>
              <w:t>2023/09/06</w:t>
            </w:r>
          </w:p>
        </w:tc>
        <w:tc>
          <w:tcPr>
            <w:tcW w:w="2310" w:type="dxa"/>
            <w:gridSpan w:val="7"/>
          </w:tcPr>
          <w:p>
            <w:pPr/>
            <w:r>
              <w:rPr>
                <w:lang w:val="zh-CN"/>
                <w:rFonts w:ascii="Times New Roman" w:hAnsi="Times New Roman" w:cs="Times New Roman"/>
                <w:b/>
                <w:color w:val="000000"/>
              </w:rPr>
              <w:t>涠洲岛一 日游</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地质公园博物馆-火山口地质公园-月亮湾广场-标志广场-石螺口海滩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早餐：含；午餐：含；晚餐：无；住宿：涠洲岛</w:t>
            </w:r>
          </w:p>
        </w:tc>
      </w:tr>
      <w:tr>
        <w:tc>
          <w:tcPr>
            <w:tcW w:w="2310" w:type="dxa"/>
            <w:vAlign w:val="center"/>
            <w:vMerge w:val="restart"/>
          </w:tcPr>
          <w:p>
            <w:pPr/>
            <w:r>
              <w:rPr>
                <w:lang w:val="zh-CN"/>
                <w:rFonts w:ascii="Times New Roman" w:hAnsi="Times New Roman" w:cs="Times New Roman"/>
                <w:sz w:val="20"/>
                <w:szCs w:val="20"/>
                <w:color w:val="000000"/>
              </w:rPr>
              <w:t>2023/09/07</w:t>
            </w:r>
          </w:p>
        </w:tc>
        <w:tc>
          <w:tcPr>
            <w:tcW w:w="2310" w:type="dxa"/>
            <w:gridSpan w:val="7"/>
          </w:tcPr>
          <w:p>
            <w:pPr/>
            <w:r>
              <w:rPr>
                <w:lang w:val="zh-CN"/>
                <w:rFonts w:ascii="Times New Roman" w:hAnsi="Times New Roman" w:cs="Times New Roman"/>
                <w:b/>
                <w:color w:val="000000"/>
              </w:rPr>
              <w:t>涠洲岛自由活动 -返回北海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自由活动推荐（五彩滩-圣母/天主教堂-中石化原油码头-滴水丹屏）-北海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早餐：含；午餐：无；晚餐：无；住宿：北海</w:t>
            </w:r>
          </w:p>
        </w:tc>
      </w:tr>
      <w:tr>
        <w:tc>
          <w:tcPr>
            <w:tcW w:w="2310" w:type="dxa"/>
            <w:vAlign w:val="center"/>
            <w:vMerge w:val="restart"/>
          </w:tcPr>
          <w:p>
            <w:pPr/>
            <w:r>
              <w:rPr>
                <w:lang w:val="zh-CN"/>
                <w:rFonts w:ascii="Times New Roman" w:hAnsi="Times New Roman" w:cs="Times New Roman"/>
                <w:sz w:val="20"/>
                <w:szCs w:val="20"/>
                <w:color w:val="000000"/>
              </w:rPr>
              <w:t>2023/09/08</w:t>
            </w:r>
          </w:p>
        </w:tc>
        <w:tc>
          <w:tcPr>
            <w:tcW w:w="2310" w:type="dxa"/>
            <w:gridSpan w:val="7"/>
          </w:tcPr>
          <w:p>
            <w:pPr/>
            <w:r>
              <w:rPr>
                <w:lang w:val="zh-CN"/>
                <w:rFonts w:ascii="Times New Roman" w:hAnsi="Times New Roman" w:cs="Times New Roman"/>
                <w:b/>
                <w:color w:val="000000"/>
              </w:rPr>
              <w:t>北海—出发地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早餐后，约定时间及地点集合送机，返回温馨的家，结束愉快行程。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特别说明及服务标准旅游交通：出发地往返北海往返经济舱机票，含机建。因全国大散拼团，车辆均根据实际人数合理安排，(保证一人一个正座，自由活动期间不提供用车)接送车上无导游。住宿标准：全程入住指定酒店双人间(即房费两人一间核算)，不提供自然单间，若产生单男单女请补足单房差。酒店内除酒店房费之外的个人消费由游客自理。(入住酒店以实际安排为准，本产品为散客拼团产品，无法指定入住某家酒店敬请谅解)。经济型：北海参考酒店：钦城，中安，中玉，东峰，悦佳，速8，爱登堡，易客，体育宾馆，地中海，腾云酒店,中玉，桃源海景，天泽驿，外沙湾，爱登堡，红沙酒店，富强商务，泓锐酒店，黄金海岸，如家酒店，宜思特联盟，春天假日；地中海，泓锐酒店；桃源海景；神农，春晖，钦城，东峰，东煌，海上居，京海，途客酒店或同级酒店涠洲岛参考酒店：晓岛时光，美林，小时代庄园，新村鱼庄，万怡客栈，忆岛悠澜半岛，鲸之园，上岛度假，紫涵阁，小时代农庄酒店，岸阳光客栈，香茗尚景客栈，涠洲山庄，忆岛酒店，初意客栈，清境客栈，晓岛时光，蓝愫客栈，梓桐院，美居林，东方海景或同级景点门票：报价包含景点首道门票(不含景区内设自费项目，另有约定除外)。保险服务：旅行社责任险(保额20万元/人)。用餐标准：4早2正(早餐酒店赠送，不吃不退),正餐餐标15元/人，（温馨提示：团餐为赠送简餐，不用不退）正餐十人一桌、八菜一汤，不含酒水(每桌不足十人菜量和品种会有所减少或更换)，如果用餐人数不足6人，无法安排团队餐，则相应退还餐费，若因客人自身原因没用餐，餐费不退。请您谅解！旅游购物：购物随客意(部分景区或酒店内设有购物场所，属于其自行商业行为)。导游服务：持证专业优秀导游讲解服务；(散客团友不得要求男女导游；自由活动期间不提供服务)在保证景点不减少的情况下，旅行社有权调整行程景点、住宿的先后顺序，敬请理解！因是全国大散拼团，根据当天实际拼团人数，安排我社相关工作人员(导游或者司机)带领客人游玩，8人以内安排司兼导，根据当天实际拼团人数，安排游玩车辆大小！儿童费用：2—11岁小孩费用只含旅游车车位、半价餐费；如身高超高(≥1.2米)产生费用需家长当地现补(儿童费用不含早餐，住宿，区间交通和景区门票等)离团说明：团队游览中不允许擅自离团(自由活动除外)，中途离团视同游客违约，按照合同总金额的20%赔付旅行社，由此造成未参加行程内景点、用餐、房、车等费用不退，旅行社亦不承担游客离团时发生意外的责任。如果游客擅自跟随无资质的非旅行社人员去参加自费项目或进购物店，因此产生的一切纠纷和后果由客人自行承担，均与导游和旅行社无关！费用不含：1、自由活动期间交通费、餐费、等私人费用；2、不提供自然单间，产生单房差或加床费用自理。非免费餐饮费、洗衣、理发、电话、烟酒、付费电视、行李搬运等费用；3、行程中未提到的其它费用：如特殊门票、游船(轮)、缆车、景区内电瓶车、动车票等费用；4、酒店内儿童早餐费用及儿童报价以外产生的其他费用需游客自理；5、购物场所内消费；v6、不含旅游意外保险及航空保险，因旅游者违约、自身过错、自身疾病，导致的人身财产损失而额外支付的费用；7、因交通延误、取消等意外事件或不可抗力原因导致的额外费用；8、“旅游费用包含”内容以外的所有费用。●补充说明1.广西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如游客对我社安排行程内酒店不满意，我社将退给客人相应标准的房费，让客人自行寻找满意的酒店。2.行程中所含的餐食，早餐为酒店房含，不用不退。正餐按产品用餐标准操作，不含酒水。3.全程使用空调旅游车，每人一个正座位，人数不足8人，提供导游兼司机服务，更要特别提醒客人，可能出现正车辆满座的情况。如有特别要求车辆，请提前说明，重新核价。旅游车到景点、餐厅期间客人统一下车，不在单独开车门给客人上车休息和开空调。贵重物品不能存放在车上。4.由于此行程为散客拼团性质，所以有可能拼车游览和遇到旅游淡旺季、船位、开船时间等不可预知的客观因素影响，导游可以根据实际的情况调整游览顺序。由于是散拼团，客人游览景点意向不一样，造成游览时间上不一样，需等待同团客人的情况，请在出发前事先交代客人。5.行程中包含的景点，因客人自身原因放弃游览的，景点费用不予退还。6.因不可抗力或者旅行社已尽合理注意义务仍不能避免的事件，影响旅游行程按以下方式处理：不能继续游览的景点和餐宿等费用，旅行社按采购成本价退还给游客；经旅行社向游客作出说明并征得游客同意后，可对行程作出变更，由此增加的费用由游客承担，减少的费用退还游客。造成行程延误、滞留的，旅行社将采取相应的安置措施。由此增加的费用，由游客承担。7.关于游客中途离团：为了确保游客旅途愉快，保障游客人身安全，请各位尊敬的游客抵达北海后，一切活动听从我社导游安排；如有客人擅自离团或参加其他团体，我社视为合同提前终止，余下所有行程将不再按排，同时时我社将不退还任何费用，由此引起的人身、财产安全问题我社一概不负责；恳请各位游客听取我社的忠告。8.关于自由活动：为让游客更好地了解当地的风土人情，行程中安排有自由活动时间；自由活动时不安排导游、司机陪同，请留意司陪人员作出的安全提示和注意事项；自由活动期间宜结伴同行，请注意人身、财产安全，有事请随时拨打接团导游或其他服务电话！</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北海-大江埠大江埠原始公园(因里面都是一些貌似野人的少数民族，又称为野人谷)——展示蛋家人以打鱼为生的水上生活及其独特的花船婚恋习俗；海洋古船文化长廊展出了获得国家专利产品认证的历代王朝、民族英雄及部份商船和海盗船船模，其状怪诞、功能各异，令人叹为观止；神秘聚落区里多民族的民俗、民风、民情.交融在一起；游玩时间:60分钟参考价格:158元/人2、环岛游渔家乐游船体验渔家风情(120分钟)：乘渔船出海，欣赏沿途美丽的北部湾风光，观赏美丽的北海外沙以及古朴地角渔村海域风光；远观南海舰队军港；一边品尝美味的小吃及南国的特色水果，我们在船上为您安排了美味的海鲜烧烤，品尝海螺、海鱼的原汁原生态烧烤美味。游玩时间:120分钟参考价格:280元/人3、赶海参加渔民沙滩赶海(120分钟)——根据潮涨潮落的时间抵达海边，乘坐快艇抵达沙滩，拿着小扒犁和小竹篓跟随渔民到广阔的沙滩上挖螺、检贝壳，尽情体验赶海的乐趣或者一起去拉大网捕鱼感受、疍家人的集体主义精神，体验渔民生活。游玩时间:120分钟参考价格:280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补充说明1.广西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如游客对我社安排行程内酒店不满意，我社将退给客人相应标准的房费，让客人自行寻找满意的酒店。2.行程中所含的餐食，早餐为酒店房含，不用不退。正餐按产品用餐标准操作，不含酒水。3.全程使用空调旅游车，每人一个正座位，人数不足8人，提供导游兼司机服务，更要特别提醒客人，可能出现正车辆满座的情况。如有特别要求车辆，请提前说明，重新核价。旅游车到景点、餐厅期间客人统一下车，不在单独开车门给客人上车休息和开空调。贵重物品不能存放在车上。4.由于此行程为散客拼团性质，所以有可能拼车游览和遇到旅游淡旺季、船位、开船时间等不可预知的客观因素影响，导游可以根据实际的情况调整游览顺序。由于是散拼团，客人游览景点意向不一样，造成游览时间上不一样，需等待同团客人的情况，请在出发前事先交代客人。5.行程中包含的景点，因客人自身原因放弃游览的，景点费用不予退还。6.因不可抗力或者旅行社已尽合理注意义务仍不能避免的事件，影响旅游行程按以下方式处理：不能继续游览的景点和餐宿等费用，旅行社按采购成本价退还给游客；经旅行社向游客作出说明并征得游客同意后，可对行程作出变更，由此增加的费用由游客承担，减少的费用退还游客。造成行程延误、滞留的，旅行社将采取相应的安置措施。由此增加的费用，由游客承担。7.关于游客中途离团：为了确保游客旅途愉快，保障游客人身安全，请各位尊敬的游客抵达北海后，一切活动听从我社导游安排；如有客人擅自离团或参加其他团体，我社视为合同提前终止，余下所有行程将不再按排，同时时我社将不退还任何费用，由此引起的人身、财产安全问题我社一概不负责；恳请各位游客听取我社的忠告。8.关于自由活动：为让游客更好地了解当地的风土人情，行程中安排有自由活动时间；自由活动时不安排导游、司机陪同，请留意司陪人员作出的安全提示和注意事项；自由活动期间宜结伴同行，请注意人身、财产安全，有事请随时拨打接团导游或其他服务电话！</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凌永佳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田婷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2023/8/29 22:03:08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